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pacing w:val="-2"/>
          <w:kern w:val="2"/>
          <w:sz w:val="32"/>
          <w:szCs w:val="32"/>
          <w:highlight w:val="none"/>
          <w:lang w:val="en-US" w:eastAsia="zh-CN" w:bidi="ar-SA"/>
        </w:rPr>
      </w:pPr>
      <w:r>
        <w:rPr>
          <w:rFonts w:hint="eastAsia" w:ascii="黑体" w:hAnsi="黑体" w:eastAsia="黑体" w:cs="黑体"/>
          <w:b w:val="0"/>
          <w:bCs w:val="0"/>
          <w:color w:val="auto"/>
          <w:spacing w:val="-2"/>
          <w:kern w:val="2"/>
          <w:sz w:val="32"/>
          <w:szCs w:val="32"/>
          <w:highlight w:val="none"/>
          <w:lang w:val="en-US" w:eastAsia="zh-CN" w:bidi="ar-SA"/>
        </w:rPr>
        <w:t>附件1</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8"/>
          <w:highlight w:val="none"/>
        </w:rPr>
      </w:pPr>
      <w:r>
        <w:rPr>
          <w:rFonts w:hint="eastAsia" w:ascii="方正小标宋简体" w:hAnsi="方正小标宋简体" w:eastAsia="方正小标宋简体" w:cs="方正小标宋简体"/>
          <w:sz w:val="44"/>
          <w:szCs w:val="48"/>
          <w:highlight w:val="none"/>
        </w:rPr>
        <w:t>商丘学院本科教育教学审核评估指标体系任务分解及责任单位表</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简体" w:hAnsi="方正小标宋简体" w:eastAsia="方正小标宋简体" w:cs="方正小标宋简体"/>
          <w:sz w:val="44"/>
          <w:szCs w:val="48"/>
          <w:highlight w:val="none"/>
        </w:rPr>
      </w:pPr>
    </w:p>
    <w:tbl>
      <w:tblPr>
        <w:tblStyle w:val="4"/>
        <w:tblW w:w="149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6"/>
        <w:gridCol w:w="1970"/>
        <w:gridCol w:w="7627"/>
        <w:gridCol w:w="1572"/>
        <w:gridCol w:w="23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3" w:hRule="atLeast"/>
          <w:tblHeader/>
          <w:jc w:val="center"/>
        </w:trPr>
        <w:tc>
          <w:tcPr>
            <w:tcW w:w="1416" w:type="dxa"/>
            <w:tcBorders>
              <w:tl2br w:val="nil"/>
              <w:tr2bl w:val="nil"/>
            </w:tcBorders>
            <w:noWrap w:val="0"/>
            <w:vAlign w:val="center"/>
          </w:tcPr>
          <w:p>
            <w:pPr>
              <w:keepNext w:val="0"/>
              <w:keepLines w:val="0"/>
              <w:widowControl/>
              <w:suppressLineNumbers w:val="0"/>
              <w:jc w:val="center"/>
              <w:textAlignment w:val="center"/>
              <w:rPr>
                <w:rFonts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一级指标</w:t>
            </w:r>
          </w:p>
        </w:tc>
        <w:tc>
          <w:tcPr>
            <w:tcW w:w="1970" w:type="dxa"/>
            <w:tcBorders>
              <w:tl2br w:val="nil"/>
              <w:tr2bl w:val="nil"/>
            </w:tcBorders>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二级指标</w:t>
            </w:r>
          </w:p>
        </w:tc>
        <w:tc>
          <w:tcPr>
            <w:tcW w:w="7627" w:type="dxa"/>
            <w:tcBorders>
              <w:tl2br w:val="nil"/>
              <w:tr2bl w:val="nil"/>
            </w:tcBorders>
            <w:noWrap w:val="0"/>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highlight w:val="none"/>
                <w:u w:val="none"/>
              </w:rPr>
            </w:pPr>
            <w:r>
              <w:rPr>
                <w:rFonts w:hint="eastAsia" w:ascii="黑体" w:hAnsi="宋体" w:eastAsia="黑体" w:cs="黑体"/>
                <w:i w:val="0"/>
                <w:iCs w:val="0"/>
                <w:color w:val="000000"/>
                <w:kern w:val="0"/>
                <w:sz w:val="24"/>
                <w:szCs w:val="24"/>
                <w:highlight w:val="none"/>
                <w:u w:val="none"/>
                <w:lang w:val="en-US" w:eastAsia="zh-CN" w:bidi="ar"/>
              </w:rPr>
              <w:t>审核重点</w:t>
            </w:r>
          </w:p>
        </w:tc>
        <w:tc>
          <w:tcPr>
            <w:tcW w:w="1572" w:type="dxa"/>
            <w:tcBorders>
              <w:tl2br w:val="nil"/>
              <w:tr2bl w:val="nil"/>
            </w:tcBorders>
            <w:noWrap w:val="0"/>
            <w:vAlign w:val="center"/>
          </w:tcPr>
          <w:p>
            <w:pPr>
              <w:keepNext w:val="0"/>
              <w:keepLines w:val="0"/>
              <w:widowControl/>
              <w:suppressLineNumbers w:val="0"/>
              <w:jc w:val="center"/>
              <w:textAlignment w:val="center"/>
              <w:rPr>
                <w:rFonts w:hint="default" w:ascii="黑体" w:hAnsi="宋体" w:eastAsia="黑体" w:cs="黑体"/>
                <w:i w:val="0"/>
                <w:iCs w:val="0"/>
                <w:color w:val="000000"/>
                <w:sz w:val="24"/>
                <w:szCs w:val="24"/>
                <w:highlight w:val="none"/>
                <w:u w:val="none"/>
                <w:lang w:val="en-US"/>
              </w:rPr>
            </w:pPr>
            <w:r>
              <w:rPr>
                <w:rFonts w:hint="eastAsia" w:ascii="黑体" w:hAnsi="宋体" w:eastAsia="黑体" w:cs="黑体"/>
                <w:i w:val="0"/>
                <w:iCs w:val="0"/>
                <w:color w:val="000000"/>
                <w:kern w:val="0"/>
                <w:sz w:val="24"/>
                <w:szCs w:val="24"/>
                <w:highlight w:val="none"/>
                <w:u w:val="none"/>
                <w:lang w:val="en-US" w:eastAsia="zh-CN" w:bidi="ar"/>
              </w:rPr>
              <w:t>责任单位</w:t>
            </w:r>
          </w:p>
        </w:tc>
        <w:tc>
          <w:tcPr>
            <w:tcW w:w="2352" w:type="dxa"/>
            <w:tcBorders>
              <w:tl2br w:val="nil"/>
              <w:tr2bl w:val="nil"/>
            </w:tcBorders>
            <w:noWrap w:val="0"/>
            <w:vAlign w:val="center"/>
          </w:tcPr>
          <w:p>
            <w:pPr>
              <w:keepNext w:val="0"/>
              <w:keepLines w:val="0"/>
              <w:widowControl/>
              <w:suppressLineNumbers w:val="0"/>
              <w:jc w:val="center"/>
              <w:textAlignment w:val="center"/>
              <w:rPr>
                <w:rFonts w:hint="default" w:ascii="黑体" w:hAnsi="宋体" w:eastAsia="黑体" w:cs="黑体"/>
                <w:i w:val="0"/>
                <w:iCs w:val="0"/>
                <w:color w:val="000000"/>
                <w:sz w:val="24"/>
                <w:szCs w:val="24"/>
                <w:highlight w:val="none"/>
                <w:u w:val="none"/>
                <w:lang w:val="en-US"/>
              </w:rPr>
            </w:pPr>
            <w:r>
              <w:rPr>
                <w:rFonts w:hint="eastAsia" w:ascii="黑体" w:hAnsi="宋体" w:eastAsia="黑体" w:cs="黑体"/>
                <w:i w:val="0"/>
                <w:iCs w:val="0"/>
                <w:color w:val="000000"/>
                <w:kern w:val="0"/>
                <w:sz w:val="24"/>
                <w:szCs w:val="24"/>
                <w:highlight w:val="none"/>
                <w:u w:val="none"/>
                <w:lang w:val="en-US" w:eastAsia="zh-CN" w:bidi="ar"/>
              </w:rPr>
              <w:t>协作单位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jc w:val="center"/>
        </w:trPr>
        <w:tc>
          <w:tcPr>
            <w:tcW w:w="1416" w:type="dxa"/>
            <w:vMerge w:val="restart"/>
            <w:tcBorders>
              <w:tl2br w:val="nil"/>
              <w:tr2bl w:val="nil"/>
            </w:tcBorders>
            <w:noWrap w:val="0"/>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1.办学方向与本科地位</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1.1党的领导</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1.1.1学校坚持党的全面领导，依法治教、依法办学、依法治校，围绕国家战略需求培养担当民族复兴大任的时代新人情况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学校各单位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7"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1.1.2学校坚持社会主义办学方向、贯彻落实立德树人根本任务、把立德树人成效作为检验学校一切工作根本标准情况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学校各单位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1.2思政教育</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1.2.1思想政治工作体系建设和“三全育人”工作格局建立情况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财务资产部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马克思主义学院</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其他相关学院、</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单位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26"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1.2.2加强思想政治理论课教师队伍和思政课程建设情况，按要求开设“习近平总书记关于教育的重要论述研究”课程情况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【必选】思政课专任教师与折合在校生比例≥1:350</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【必选】专职党务工作人员和思想政治工作人员总数与全校师生人数比例≥1:100</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【必选】生均思政工作和党务工作队伍建设专项经费≥20元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【必选】生均网络思政工作专项经费≥40元</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pStyle w:val="2"/>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pageBreakBefore w:val="0"/>
              <w:widowControl/>
              <w:kinsoku/>
              <w:wordWrap/>
              <w:overflowPunct/>
              <w:topLinePunct w:val="0"/>
              <w:autoSpaceDE/>
              <w:autoSpaceDN/>
              <w:bidi w:val="0"/>
              <w:adjustRightInd/>
              <w:snapToGrid/>
              <w:spacing w:line="300" w:lineRule="exact"/>
              <w:jc w:val="center"/>
              <w:rPr>
                <w:rFonts w:hint="default"/>
                <w:sz w:val="24"/>
                <w:szCs w:val="24"/>
                <w:highlight w:val="none"/>
                <w:lang w:val="en-US"/>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tc>
        <w:tc>
          <w:tcPr>
            <w:tcW w:w="235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1.2.3“课程思政”建设与成效，课程思政示范课程、课程思政教学研究示范中心以及课程思政教学名师和团队的建设及选树情况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3"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1.2.4学校对教师、学生出现思想政治、道德品质等负面问题能否及时发现和妥当处置情况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i w:val="0"/>
                <w:iCs w:val="0"/>
                <w:color w:val="000000"/>
                <w:sz w:val="24"/>
                <w:szCs w:val="24"/>
                <w:highlight w:val="none"/>
                <w:u w:val="none"/>
                <w:lang w:val="en-US" w:eastAsia="zh-CN"/>
              </w:rPr>
            </w:pPr>
            <w:r>
              <w:rPr>
                <w:rFonts w:hint="eastAsia" w:ascii="仿宋_GB2312" w:hAnsi="宋体" w:eastAsia="仿宋_GB2312" w:cs="仿宋_GB2312"/>
                <w:i w:val="0"/>
                <w:iCs w:val="0"/>
                <w:color w:val="000000"/>
                <w:sz w:val="24"/>
                <w:szCs w:val="24"/>
                <w:highlight w:val="none"/>
                <w:u w:val="none"/>
                <w:lang w:val="en-US" w:eastAsia="zh-CN"/>
              </w:rPr>
              <w:t>党委工作部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1416"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1.办学方向与本科地位</w:t>
            </w:r>
          </w:p>
        </w:tc>
        <w:tc>
          <w:tcPr>
            <w:tcW w:w="197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1.3本科地位</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1.3.1“以本为本”落实情况，党委重视、校长主抓、院长落实的本科教育良好氛围形成情况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i w:val="0"/>
                <w:iCs w:val="0"/>
                <w:color w:val="000000"/>
                <w:sz w:val="24"/>
                <w:szCs w:val="24"/>
                <w:highlight w:val="none"/>
                <w:u w:val="none"/>
                <w:lang w:val="en-US" w:eastAsia="zh-CN"/>
              </w:rPr>
            </w:pPr>
            <w:r>
              <w:rPr>
                <w:rFonts w:hint="eastAsia" w:ascii="仿宋_GB2312" w:hAnsi="宋体" w:eastAsia="仿宋_GB2312" w:cs="仿宋_GB2312"/>
                <w:i w:val="0"/>
                <w:iCs w:val="0"/>
                <w:color w:val="000000"/>
                <w:sz w:val="24"/>
                <w:szCs w:val="24"/>
                <w:highlight w:val="none"/>
                <w:u w:val="none"/>
                <w:lang w:val="en-US" w:eastAsia="zh-CN"/>
              </w:rPr>
              <w:t>学校办公室</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0" w:hRule="atLeast"/>
          <w:jc w:val="center"/>
        </w:trPr>
        <w:tc>
          <w:tcPr>
            <w:tcW w:w="141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1.3.2“四个回归”的实现情况，推进学生刻苦读书学习、教师潜心教书育人、学校倾心培养社会主义建设者和接班人等方面的举措与成效</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06" w:hRule="atLeast"/>
          <w:jc w:val="center"/>
        </w:trPr>
        <w:tc>
          <w:tcPr>
            <w:tcW w:w="141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1.3.3教学经费、教学资源条件、教师精力投入等优先保障本科教学的机制建设情况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【必选】生均年教学日常运行支出≥1200元（备注5)</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【必选】教学日常运行支出占经常性预算内教育事业费拨款（205类教育拨款扣除专项拨款）与学费收入之和的比例≥13%（教学日常运行支出统计要求见备注5)</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【必选】年新增教学科研仪器设备值所占比例（要求见备注6)</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【必选】生均教学科研仪器设备值（要求见备注7)</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财务资产部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8" w:hRule="atLeast"/>
          <w:jc w:val="center"/>
        </w:trPr>
        <w:tc>
          <w:tcPr>
            <w:tcW w:w="141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黑体" w:hAnsi="黑体" w:eastAsia="黑体" w:cs="黑体"/>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1.3.4学校各职能部门服务本科教育教学工作情况，本科教育教学工作在学校年度考核中的比重情况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p>
            <w:pPr>
              <w:pStyle w:val="2"/>
              <w:keepNext w:val="0"/>
              <w:keepLines w:val="0"/>
              <w:pageBreakBefore w:val="0"/>
              <w:kinsoku/>
              <w:wordWrap/>
              <w:overflowPunct/>
              <w:topLinePunct w:val="0"/>
              <w:autoSpaceDE/>
              <w:autoSpaceDN/>
              <w:bidi w:val="0"/>
              <w:adjustRightInd/>
              <w:snapToGrid/>
              <w:spacing w:line="300" w:lineRule="exact"/>
              <w:jc w:val="center"/>
              <w:rPr>
                <w:rFonts w:hint="default"/>
                <w:highlight w:val="none"/>
                <w:lang w:val="en-US"/>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各行政部门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5" w:hRule="atLeast"/>
          <w:jc w:val="center"/>
        </w:trPr>
        <w:tc>
          <w:tcPr>
            <w:tcW w:w="1416"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黑体" w:eastAsia="黑体" w:cs="黑体"/>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2.培养过程</w:t>
            </w:r>
          </w:p>
        </w:tc>
        <w:tc>
          <w:tcPr>
            <w:tcW w:w="197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2.1培养方案</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2.1.1培养目标符合学校定位、适应社会经济发展需要、体现学生德智体美劳全面发展情况</w:t>
            </w:r>
          </w:p>
        </w:tc>
        <w:tc>
          <w:tcPr>
            <w:tcW w:w="157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17" w:hRule="atLeast"/>
          <w:jc w:val="center"/>
        </w:trPr>
        <w:tc>
          <w:tcPr>
            <w:tcW w:w="141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2.1.2培养方案符合国家专业类标准、体现产出导向理念情况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【必选】学生毕业必须修满的公共艺术课程学分数≥2学分</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【必选】劳动教育必修课或必修课程中劳动教育模块学时总数≥32学时</w:t>
            </w:r>
          </w:p>
        </w:tc>
        <w:tc>
          <w:tcPr>
            <w:tcW w:w="157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2"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2.1.3培养方案强化实践教学、突出实验实训内容的基础性和应用性、注重培养学生应用能力情况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84" w:hRule="atLeast"/>
          <w:jc w:val="center"/>
        </w:trPr>
        <w:tc>
          <w:tcPr>
            <w:tcW w:w="1416" w:type="dxa"/>
            <w:vMerge w:val="restart"/>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2.培养过程</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2.2专业建设</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2.2.1专业设置、专业建设与国家需要、区域经济社会发展及产业发展对应用型人才需求的契合情况</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【必选】通过认证（评估）的专业占专业总数的比例</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【可选】近三年新增专业数</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【可选】近三年停招专业数</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highlight w:val="none"/>
                <w:u w:val="none"/>
                <w:lang w:val="en-US"/>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4"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2.2.2围绕产业链、创新链建立自主性、灵活性与规范性、稳定性相统一的专业设置管理体系情况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8"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2.2.3学校通过主辅修、微专业和双学士学位培养等举措促进复合型人才培养情况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76"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2.3实践教学</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2.3.1强化实践育人、构建实践教学体系、推动实践教学改革情况</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【必选】实践教学学分占总学分（学时）比例（人文社科类专业≥15%，理工农医类专业≥25%）</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【必选】国家级、省级实践教学基地（包括实验教学示范中心、虚拟仿真实验中心、临床教学培训示范中心、工程实践基地、农科教合作人才培养基地等）数</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5"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2.3.2学校与企业、行业单位共建实习实训基地情况</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【可选】与行业企业共建的实验教学中心数</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7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2.3.3毕业论文（设计）选题来自行业企业一线需要、实行校企“双导师”制情况及完成质量</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【必选】以实验、实习、工程实践和社会调查等实践性工作为基础的毕业论文（设计）比例≥50%</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3"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2.4课堂教学</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2.4.1实施“以学为中心、以教为主导”的课堂教学，开展以学生学习成果为导向的教学评价情况</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pStyle w:val="2"/>
              <w:rPr>
                <w:rFonts w:hint="eastAsia"/>
                <w:highlight w:val="none"/>
              </w:rPr>
            </w:pP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lang w:val="en-US" w:eastAsia="zh-CN"/>
              </w:rPr>
            </w:pPr>
            <w:r>
              <w:rPr>
                <w:rFonts w:hint="eastAsia" w:ascii="仿宋_GB2312" w:hAnsi="宋体" w:eastAsia="仿宋_GB2312" w:cs="仿宋_GB2312"/>
                <w:i w:val="0"/>
                <w:iCs w:val="0"/>
                <w:color w:val="000000"/>
                <w:sz w:val="24"/>
                <w:szCs w:val="24"/>
                <w:highlight w:val="none"/>
                <w:u w:val="none"/>
                <w:lang w:val="en-US" w:eastAsia="zh-CN"/>
              </w:rPr>
              <w:t>图文信息中心</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lang w:val="en-US" w:eastAsia="zh-CN"/>
              </w:rPr>
            </w:pP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lang w:val="en-US" w:eastAsia="zh-CN"/>
              </w:rPr>
            </w:pP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lang w:val="en-US" w:eastAsia="zh-CN"/>
              </w:rPr>
            </w:pPr>
          </w:p>
          <w:p>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highlight w:val="none"/>
                <w:u w:val="none"/>
                <w:lang w:val="en-US" w:eastAsia="zh-CN"/>
              </w:rPr>
            </w:pPr>
            <w:r>
              <w:rPr>
                <w:rFonts w:hint="eastAsia" w:ascii="仿宋_GB2312" w:hAnsi="宋体" w:eastAsia="仿宋_GB2312" w:cs="仿宋_GB2312"/>
                <w:i w:val="0"/>
                <w:iCs w:val="0"/>
                <w:color w:val="000000"/>
                <w:sz w:val="24"/>
                <w:szCs w:val="24"/>
                <w:highlight w:val="none"/>
                <w:u w:val="none"/>
                <w:lang w:val="en-US" w:eastAsia="zh-CN"/>
              </w:rPr>
              <w:t>质量监测与评估部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4"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2.4.2推进信息技术与教学过程融合、加强信息化教学环境与资源建设情况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07" w:hRule="atLeast"/>
          <w:jc w:val="center"/>
        </w:trPr>
        <w:tc>
          <w:tcPr>
            <w:tcW w:w="1416" w:type="dxa"/>
            <w:vMerge w:val="restart"/>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2.培养过程</w:t>
            </w:r>
          </w:p>
        </w:tc>
        <w:tc>
          <w:tcPr>
            <w:tcW w:w="1970"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2.4课堂教学</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2.4.3建立健全教材管理机构和工作制度情况，依照教材审核选用标准和程序选用教材情况；推进马工程重点教材统一使用情况；对教材选用工作出现负面问题的处理情况</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【必选】使用马工程重点教材课程数量与学校应使用马工程重点教材课程数量的比例</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【可选】近五年公开出版的教材数</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9"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K2.5卓越培养</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K2.5.1产教融合卓越人才培养模式改革及其实践效果</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【可选】产学合作协同育人项目数</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9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K2.5.2加强课程体系整体设计，优化公共课、专业基础课和专业课比例结构，提高课程建设规划性、系统性情况</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【必选】本科生生均课程门数</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【可选】与行业企业共建、共同讲授的课程数</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2"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K2.5.3新工科、新农科、新医科、新文科建设以及围绕“培育高水平教学成果”开展教研教改项目建设的举措及实施成效</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K2.5.4一流专业“双万计划”建设举措及成效</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2"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K2.5.5一流课程“双万计划”建设举措及成效</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K2.5.6优秀教材建设举措及成效</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5"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2"/>
                <w:szCs w:val="22"/>
                <w:highlight w:val="none"/>
                <w:u w:val="none"/>
                <w:lang w:val="en-US" w:eastAsia="zh-CN" w:bidi="ar"/>
              </w:rPr>
              <w:t>2.6创新创业教育</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2.6.1创新创业教育工作体系与创新创业教育平台建设情况</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2.6.2将创新创业教育贯穿于人才培养全过程、融入专业教育的举措与成效</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4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2.6.3学生参与创新创业教育积极性及创新创业教育成果</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【必选】本科生参加各级各类创新创业实践活动人数及比例</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【必选】“互联网+”大学生创新创业大赛获奖数</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【可选】省级以上学科竞赛获奖学生人次数占学生总数的比例</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4" w:hRule="atLeast"/>
          <w:jc w:val="center"/>
        </w:trPr>
        <w:tc>
          <w:tcPr>
            <w:tcW w:w="1416"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3.教学资源与利用</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3.1设施条件</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3.1.1教学经费、图书资料、校园网等满足教学要求情况</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财务资产部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图文信息</w:t>
            </w:r>
          </w:p>
          <w:p>
            <w:pPr>
              <w:keepNext w:val="0"/>
              <w:keepLines w:val="0"/>
              <w:widowControl/>
              <w:suppressLineNumbers w:val="0"/>
              <w:jc w:val="center"/>
              <w:textAlignment w:val="center"/>
              <w:rPr>
                <w:rFonts w:hint="eastAsia"/>
                <w:sz w:val="24"/>
                <w:szCs w:val="24"/>
                <w:highlight w:val="none"/>
              </w:rPr>
            </w:pPr>
            <w:r>
              <w:rPr>
                <w:rFonts w:hint="eastAsia" w:ascii="仿宋_GB2312" w:hAnsi="宋体" w:eastAsia="仿宋_GB2312" w:cs="仿宋_GB2312"/>
                <w:i w:val="0"/>
                <w:iCs w:val="0"/>
                <w:color w:val="000000"/>
                <w:kern w:val="0"/>
                <w:sz w:val="24"/>
                <w:szCs w:val="24"/>
                <w:highlight w:val="none"/>
                <w:u w:val="none"/>
                <w:lang w:val="en-US" w:eastAsia="zh-CN" w:bidi="ar"/>
              </w:rPr>
              <w:t>中心</w:t>
            </w: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9"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3.1.2校舍、运动场所、体育设施、艺术场馆、实验室、实习基地及其设施条件满足教学要求情况及利用率</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总务部</w:t>
            </w: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9"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3.2资源建设</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3.2.1行业企业课程资源库、真实项目案例库建设及共享情况</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3.2.2面向行业企业实际、产业发展需要的应用型教材建设情况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9"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K3.2.3适应“互联网+”课程教学需要的智慧教室、智能实验室等教学设施和条件建设及使用效果</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各二级学院、图文信息中心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K3.2.4产业技术发展成果、产学研合作项目转化为教学资源情况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98" w:hRule="atLeast"/>
          <w:jc w:val="center"/>
        </w:trPr>
        <w:tc>
          <w:tcPr>
            <w:tcW w:w="1416" w:type="dxa"/>
            <w:vMerge w:val="restart"/>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r>
              <w:rPr>
                <w:rFonts w:hint="eastAsia" w:ascii="黑体" w:hAnsi="黑体" w:eastAsia="黑体" w:cs="黑体"/>
                <w:i w:val="0"/>
                <w:iCs w:val="0"/>
                <w:color w:val="000000"/>
                <w:kern w:val="0"/>
                <w:sz w:val="24"/>
                <w:szCs w:val="24"/>
                <w:highlight w:val="none"/>
                <w:u w:val="none"/>
                <w:lang w:val="en-US" w:eastAsia="zh-CN" w:bidi="ar"/>
              </w:rPr>
              <w:t>4.教师队伍</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4.1师德师风</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4.1.1保障把教师思想政治建设放在首位、把师德师风作为评价教师的第一标准，强化师德教育、加强师德宣传、严格考核管理、加强制度建设，落实师德考核贯穿于教育教学全过程等方面的情况</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4.1.2教师在争做“四有”好老师、四个“引路人”，自觉遵守《新时代高校教师职业行为十项准则》等方面的情况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0"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4.2教学能力</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4.2.1专任教师的专业水平、教学能力、产学研用能力</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2"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4.2.2提升教师教书育人能力和水平的措施</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00"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4.3教学投入</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4.3.1教师投入教学、教授全员为本科生授课的激励与约束机制建立情况及实施效果</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【必选】主讲本科课程教授占教授总数的比例</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【必选】教授主讲本科课程人均学时数</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5"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4.3.2教师特别是教授和副教授开展教学研究、参与教学改革与建设情况及成效</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【必选】教授、副教授担任专业负责人的专业占专业总数的比例</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53" w:hRule="atLeast"/>
          <w:jc w:val="center"/>
        </w:trPr>
        <w:tc>
          <w:tcPr>
            <w:tcW w:w="1416" w:type="dxa"/>
            <w:vMerge w:val="restart"/>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r>
              <w:rPr>
                <w:rFonts w:hint="eastAsia" w:ascii="黑体" w:hAnsi="黑体" w:eastAsia="黑体" w:cs="黑体"/>
                <w:i w:val="0"/>
                <w:iCs w:val="0"/>
                <w:color w:val="000000"/>
                <w:kern w:val="0"/>
                <w:sz w:val="24"/>
                <w:szCs w:val="24"/>
                <w:highlight w:val="none"/>
                <w:u w:val="none"/>
                <w:lang w:val="en-US" w:eastAsia="zh-CN" w:bidi="ar"/>
              </w:rPr>
              <w:t>4.教师队伍</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4.4教师发展</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4.4.1重视教师培训与职业发展，把习近平总书记关于教育的重要论述作为核心培训课程，把《习近平总书记教育重要论述讲义》作为核心培训教材，加强思政与党务工作队伍建设的举措与成效</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4.4.2加强教师教学发展中心、基层教学组织和青年教师队伍建设举措与成效</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【必选】设有基层教学组织的专业占专业总数的比例</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【可选】教师发展中心培训本校教师的比例</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5"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4.4.3提升教师教学能力、产学研用能力、信息技术应用能力，鼓励教师到业界实践、挂职和承担横向课题的政策措施</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7"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4.4.4双师双能型教师队伍和实践教学教师队伍管理与建设情况【可选】专任教师中双师双能型教师的比例</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K4.4.5教师赴国（境）外交流、访学、参加国际会议、合作研究等情况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416" w:type="dxa"/>
            <w:vMerge w:val="restart"/>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r>
              <w:rPr>
                <w:rFonts w:hint="eastAsia" w:ascii="黑体" w:hAnsi="黑体" w:eastAsia="黑体" w:cs="黑体"/>
                <w:i w:val="0"/>
                <w:iCs w:val="0"/>
                <w:color w:val="000000"/>
                <w:kern w:val="0"/>
                <w:sz w:val="24"/>
                <w:szCs w:val="24"/>
                <w:highlight w:val="none"/>
                <w:u w:val="none"/>
                <w:lang w:val="en-US" w:eastAsia="zh-CN" w:bidi="ar"/>
              </w:rPr>
              <w:t>5.学生发展</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5.1理想信念</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5.1.1学生理想信念和品德修养</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9"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5.1.2加强学风建设，教育引导学生爱国、励志、求真、力行情况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49"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5.2学业成绩及综合素质</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5.2.1学生综合应用知识能力和独立解决生产、管理和服务中实际问题能力</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【可选】在学期间获得国家认可的职业资格证书学生数占在校生数的比例</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【可选】本科生以第一作者/通讯作者在公开发行期刊发表的论文数和本科生获批国家发明专利数</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1"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5.2.2开展通识教育、体育、美育、劳动教育的措施与成效</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【必选】体质测试达标率</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73" w:hRule="atLeast"/>
          <w:jc w:val="center"/>
        </w:trPr>
        <w:tc>
          <w:tcPr>
            <w:tcW w:w="1416" w:type="dxa"/>
            <w:vMerge w:val="restart"/>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p>
            <w:pPr>
              <w:jc w:val="center"/>
              <w:rPr>
                <w:rFonts w:hint="eastAsia" w:ascii="黑体" w:hAnsi="黑体" w:eastAsia="黑体" w:cs="黑体"/>
                <w:i w:val="0"/>
                <w:iCs w:val="0"/>
                <w:color w:val="000000"/>
                <w:kern w:val="0"/>
                <w:sz w:val="24"/>
                <w:szCs w:val="24"/>
                <w:highlight w:val="none"/>
                <w:u w:val="none"/>
                <w:lang w:val="en-US" w:eastAsia="zh-CN" w:bidi="ar"/>
              </w:rPr>
            </w:pPr>
          </w:p>
          <w:p>
            <w:pPr>
              <w:jc w:val="center"/>
              <w:rPr>
                <w:rFonts w:hint="eastAsia" w:ascii="黑体" w:hAnsi="黑体" w:eastAsia="黑体" w:cs="黑体"/>
                <w:i w:val="0"/>
                <w:iCs w:val="0"/>
                <w:color w:val="000000"/>
                <w:kern w:val="0"/>
                <w:sz w:val="24"/>
                <w:szCs w:val="24"/>
                <w:highlight w:val="none"/>
                <w:u w:val="none"/>
                <w:lang w:val="en-US" w:eastAsia="zh-CN" w:bidi="ar"/>
              </w:rPr>
            </w:pPr>
          </w:p>
          <w:p>
            <w:pPr>
              <w:jc w:val="center"/>
              <w:rPr>
                <w:rFonts w:hint="eastAsia" w:ascii="黑体" w:hAnsi="黑体" w:eastAsia="黑体" w:cs="黑体"/>
                <w:i w:val="0"/>
                <w:iCs w:val="0"/>
                <w:color w:val="000000"/>
                <w:kern w:val="0"/>
                <w:sz w:val="24"/>
                <w:szCs w:val="24"/>
                <w:highlight w:val="none"/>
                <w:u w:val="none"/>
                <w:lang w:val="en-US" w:eastAsia="zh-CN" w:bidi="ar"/>
              </w:rPr>
            </w:pPr>
          </w:p>
          <w:p>
            <w:pPr>
              <w:jc w:val="center"/>
              <w:rPr>
                <w:rFonts w:hint="eastAsia" w:ascii="黑体" w:hAnsi="黑体" w:eastAsia="黑体" w:cs="黑体"/>
                <w:i w:val="0"/>
                <w:iCs w:val="0"/>
                <w:color w:val="000000"/>
                <w:kern w:val="0"/>
                <w:sz w:val="24"/>
                <w:szCs w:val="24"/>
                <w:highlight w:val="none"/>
                <w:u w:val="none"/>
                <w:lang w:val="en-US" w:eastAsia="zh-CN" w:bidi="ar"/>
              </w:rPr>
            </w:pPr>
          </w:p>
          <w:p>
            <w:pPr>
              <w:jc w:val="center"/>
              <w:rPr>
                <w:rFonts w:hint="eastAsia" w:ascii="黑体" w:hAnsi="黑体" w:eastAsia="黑体" w:cs="黑体"/>
                <w:i w:val="0"/>
                <w:iCs w:val="0"/>
                <w:color w:val="000000"/>
                <w:kern w:val="0"/>
                <w:sz w:val="24"/>
                <w:szCs w:val="24"/>
                <w:highlight w:val="none"/>
                <w:u w:val="none"/>
                <w:lang w:val="en-US" w:eastAsia="zh-CN" w:bidi="ar"/>
              </w:rPr>
            </w:pPr>
            <w:r>
              <w:rPr>
                <w:rFonts w:hint="eastAsia" w:ascii="黑体" w:hAnsi="黑体" w:eastAsia="黑体" w:cs="黑体"/>
                <w:i w:val="0"/>
                <w:iCs w:val="0"/>
                <w:color w:val="000000"/>
                <w:kern w:val="0"/>
                <w:sz w:val="24"/>
                <w:szCs w:val="24"/>
                <w:highlight w:val="none"/>
                <w:u w:val="none"/>
                <w:lang w:val="en-US" w:eastAsia="zh-CN" w:bidi="ar"/>
              </w:rPr>
              <w:t>5.学生发展</w:t>
            </w:r>
          </w:p>
        </w:tc>
        <w:tc>
          <w:tcPr>
            <w:tcW w:w="1970" w:type="dxa"/>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5.2学业成绩及综合素质</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5.2.3社团活动、校园文化、社会实践、志愿服务等活动开展情况及育人效果</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【可选】省级以上艺术展演、体育竞赛参赛获奖学生人次数占学生总数的比例</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K5.3国际视野</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K5.3.1与国（境）外大学合作办学、合作育人以及与本科教育相关的国际交流活动和来华留学生教育开展情况</w:t>
            </w:r>
          </w:p>
        </w:tc>
        <w:tc>
          <w:tcPr>
            <w:tcW w:w="157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K5.3.2国际先进教育理念、优质教育资源的吸收内化、培育和输出共享情况</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2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K5.3.3 学生赴国（境）外交流、访学、实习、竞赛、参加国际会议、合作研究等情况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【可选】在学期间赴国（境）外交流、访学、实习的学生数占在校生数的比例</w:t>
            </w:r>
          </w:p>
        </w:tc>
        <w:tc>
          <w:tcPr>
            <w:tcW w:w="157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77"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5.4支持服务</w:t>
            </w: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5.4.1领导干部和教师参与学生工作的情况</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党委工作部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学校办公室</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073"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5.4.2学校开展学生指导服务工作（学业、职业生涯规划、就业、家庭经济困难学生资助、心理健康咨询等）情况，学业导师、心理辅导教师、校医等配备及师生交流活动专门场所建设情况</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【必选】专职辅导员岗位与在校生比例≥1:200</w:t>
            </w:r>
          </w:p>
          <w:p>
            <w:pPr>
              <w:keepNext w:val="0"/>
              <w:keepLines w:val="0"/>
              <w:widowControl/>
              <w:suppressLineNumbers w:val="0"/>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【必选】专职从事心理健康教育教师与在校生比例≥1:4000且至少2名</w:t>
            </w:r>
          </w:p>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【必选】专职就业指导教师和专职就业工作人员与应届毕业生比例≥1:500</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总务部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5.4.3与学分制改革和弹性学习相适应的管理制度、辅修专业制度、双学士学位制度建设情况</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K5.4.4探索学生成长增值评价，重视学生学习体验、自我发展能力和职业发展能力的具体措施及实施成效</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tc>
        <w:tc>
          <w:tcPr>
            <w:tcW w:w="235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1416" w:type="dxa"/>
            <w:vMerge w:val="restart"/>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r>
              <w:rPr>
                <w:rFonts w:hint="eastAsia" w:ascii="黑体" w:hAnsi="黑体" w:eastAsia="黑体" w:cs="黑体"/>
                <w:i w:val="0"/>
                <w:iCs w:val="0"/>
                <w:color w:val="000000"/>
                <w:kern w:val="0"/>
                <w:sz w:val="24"/>
                <w:szCs w:val="24"/>
                <w:highlight w:val="none"/>
                <w:u w:val="none"/>
                <w:lang w:val="en-US" w:eastAsia="zh-CN" w:bidi="ar"/>
              </w:rPr>
              <w:t>6.质量保障</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6.1质量管理</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6.1.1学校质量标准、质量管理制度、质量保障机构及队伍建设情况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tc>
        <w:tc>
          <w:tcPr>
            <w:tcW w:w="2352" w:type="dxa"/>
            <w:tcBorders>
              <w:tl2br w:val="nil"/>
              <w:tr2bl w:val="nil"/>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6"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6.1.2加强考试管理、严肃考试纪律、完善过程性考核与结果性考核有机结合的学业考评制度、严把考试和毕业出口关的情况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tcBorders>
              <w:tl2br w:val="nil"/>
              <w:tr2bl w:val="nil"/>
            </w:tcBorders>
            <w:noWrap w:val="0"/>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6.2质量改进</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6.2.1学校内部质量评估制度的建立及接受外部评估（含院校评估、专业认证等）情况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tc>
        <w:tc>
          <w:tcPr>
            <w:tcW w:w="2352"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6.2.2质量持续改进机制建设与改进效果</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1"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6.3质量文化</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6.3.1自觉、自省、自律、自查、自纠的质量文化建设情况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jc w:val="center"/>
        </w:trPr>
        <w:tc>
          <w:tcPr>
            <w:tcW w:w="1416" w:type="dxa"/>
            <w:vMerge w:val="continue"/>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6.3.2质量信息公开制度及年度质量报告</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jc w:val="center"/>
        </w:trPr>
        <w:tc>
          <w:tcPr>
            <w:tcW w:w="1416" w:type="dxa"/>
            <w:vMerge w:val="restart"/>
            <w:tcBorders>
              <w:tl2br w:val="nil"/>
              <w:tr2bl w:val="nil"/>
            </w:tcBorders>
            <w:noWrap w:val="0"/>
            <w:vAlign w:val="center"/>
          </w:tcPr>
          <w:p>
            <w:pPr>
              <w:jc w:val="center"/>
              <w:rPr>
                <w:rFonts w:hint="eastAsia" w:ascii="黑体" w:hAnsi="黑体" w:eastAsia="黑体" w:cs="黑体"/>
                <w:i w:val="0"/>
                <w:iCs w:val="0"/>
                <w:color w:val="000000"/>
                <w:kern w:val="0"/>
                <w:sz w:val="24"/>
                <w:szCs w:val="24"/>
                <w:highlight w:val="none"/>
                <w:u w:val="none"/>
                <w:lang w:val="en-US" w:eastAsia="zh-CN" w:bidi="ar"/>
              </w:rPr>
            </w:pPr>
            <w:r>
              <w:rPr>
                <w:rFonts w:hint="eastAsia" w:ascii="黑体" w:hAnsi="黑体" w:eastAsia="黑体" w:cs="黑体"/>
                <w:i w:val="0"/>
                <w:iCs w:val="0"/>
                <w:color w:val="000000"/>
                <w:kern w:val="0"/>
                <w:sz w:val="24"/>
                <w:szCs w:val="24"/>
                <w:highlight w:val="none"/>
                <w:u w:val="none"/>
                <w:lang w:val="en-US" w:eastAsia="zh-CN" w:bidi="ar"/>
              </w:rPr>
              <w:t>7.教学成效</w:t>
            </w: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7.1达成度</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7.1.1学校各专业人才培养目标的达成情况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7.1.2毕业生质量持续跟踪评价机制建立情况及跟踪评价结果</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7.2适应度</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7.2.1学校本科生源状况</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8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7.2.2毕业生面向学校所服务的区域和行业企业就业情况、就业质量及职业发展情况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【可选】升学率（含国内与国外）</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【可选】应届本科生初次就业率及结构</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3"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7.3保障度</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7.3.1教学经费以及教室、实验室、图书馆、体育场馆、艺术场馆等资源条件满足教学需要情况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【必选】生均本科实验经费（元）</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【必选】生均本科实习经费（元）</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财务资产部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图文信息中心</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总务部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37" w:hRule="atLeast"/>
          <w:jc w:val="center"/>
        </w:trPr>
        <w:tc>
          <w:tcPr>
            <w:tcW w:w="1416" w:type="dxa"/>
            <w:vMerge w:val="restart"/>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r>
              <w:rPr>
                <w:rFonts w:hint="eastAsia" w:ascii="黑体" w:hAnsi="黑体" w:eastAsia="黑体" w:cs="黑体"/>
                <w:i w:val="0"/>
                <w:iCs w:val="0"/>
                <w:color w:val="000000"/>
                <w:kern w:val="0"/>
                <w:sz w:val="24"/>
                <w:szCs w:val="24"/>
                <w:highlight w:val="none"/>
                <w:u w:val="none"/>
                <w:lang w:val="en-US" w:eastAsia="zh-CN" w:bidi="ar"/>
              </w:rPr>
              <w:t>7.教学成效</w:t>
            </w:r>
          </w:p>
        </w:tc>
        <w:tc>
          <w:tcPr>
            <w:tcW w:w="1970" w:type="dxa"/>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7.3保障度</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7.3.2教师的数量、结构、教学水平、产学研用能力、国际视野、教学投入等满足人才培养需要情况</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【必选】生师比（要求见备注8）</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【必选】具有硕士学位、博士学位教师占专任教师比例≥50%</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tc>
        <w:tc>
          <w:tcPr>
            <w:tcW w:w="235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财务资产部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7.4有效度</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7.4.1学校人才培养各环节有序运行情况</w:t>
            </w:r>
          </w:p>
        </w:tc>
        <w:tc>
          <w:tcPr>
            <w:tcW w:w="157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教务部</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4"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7.4.2学校人才培养工作持续改进、持续提升情况</w:t>
            </w:r>
          </w:p>
        </w:tc>
        <w:tc>
          <w:tcPr>
            <w:tcW w:w="157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2"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7.4.3近五年专业领域的优秀毕业生十个典型案例及培养经验</w:t>
            </w:r>
          </w:p>
        </w:tc>
        <w:tc>
          <w:tcPr>
            <w:tcW w:w="157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c>
          <w:tcPr>
            <w:tcW w:w="235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6"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restart"/>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7.5满意度</w:t>
            </w:r>
          </w:p>
        </w:tc>
        <w:tc>
          <w:tcPr>
            <w:tcW w:w="7627"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7.5.1学生（毕业生与在校生）对学习与成长的满意度</w:t>
            </w:r>
          </w:p>
        </w:tc>
        <w:tc>
          <w:tcPr>
            <w:tcW w:w="1572"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lang w:val="en-US" w:eastAsia="zh-CN"/>
              </w:rPr>
            </w:pPr>
            <w:r>
              <w:rPr>
                <w:rFonts w:hint="eastAsia" w:ascii="仿宋_GB2312" w:hAnsi="宋体" w:eastAsia="仿宋_GB2312" w:cs="仿宋_GB2312"/>
                <w:i w:val="0"/>
                <w:iCs w:val="0"/>
                <w:color w:val="000000"/>
                <w:sz w:val="24"/>
                <w:szCs w:val="24"/>
                <w:highlight w:val="none"/>
                <w:u w:val="none"/>
                <w:lang w:val="en-US" w:eastAsia="zh-CN"/>
              </w:rPr>
              <w:t>学务部</w:t>
            </w:r>
          </w:p>
        </w:tc>
        <w:tc>
          <w:tcPr>
            <w:tcW w:w="2352"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质量监测与评估部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学务部</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各二级学院</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4"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7.5.2 教师对学校教育教学工作的满意度</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人事部</w:t>
            </w: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1" w:hRule="atLeast"/>
          <w:jc w:val="center"/>
        </w:trPr>
        <w:tc>
          <w:tcPr>
            <w:tcW w:w="1416"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1970"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c>
          <w:tcPr>
            <w:tcW w:w="7627" w:type="dxa"/>
            <w:tcBorders>
              <w:tl2br w:val="nil"/>
              <w:tr2bl w:val="nil"/>
            </w:tcBorders>
            <w:noWrap w:val="0"/>
            <w:vAlign w:val="center"/>
          </w:tcPr>
          <w:p>
            <w:pPr>
              <w:keepNext w:val="0"/>
              <w:keepLines w:val="0"/>
              <w:widowControl/>
              <w:suppressLineNumbers w:val="0"/>
              <w:jc w:val="both"/>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7.5.3 用人单位的满意度</w:t>
            </w:r>
          </w:p>
        </w:tc>
        <w:tc>
          <w:tcPr>
            <w:tcW w:w="1572" w:type="dxa"/>
            <w:tcBorders>
              <w:tl2br w:val="nil"/>
              <w:tr2bl w:val="nil"/>
            </w:tcBorders>
            <w:noWrap w:val="0"/>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highlight w:val="none"/>
                <w:u w:val="none"/>
              </w:rPr>
            </w:pPr>
            <w:r>
              <w:rPr>
                <w:rFonts w:hint="eastAsia" w:ascii="仿宋_GB2312" w:hAnsi="宋体" w:eastAsia="仿宋_GB2312" w:cs="仿宋_GB2312"/>
                <w:i w:val="0"/>
                <w:iCs w:val="0"/>
                <w:color w:val="000000"/>
                <w:kern w:val="0"/>
                <w:sz w:val="24"/>
                <w:szCs w:val="24"/>
                <w:highlight w:val="none"/>
                <w:u w:val="none"/>
                <w:lang w:val="en-US" w:eastAsia="zh-CN" w:bidi="ar"/>
              </w:rPr>
              <w:t>招生就业处</w:t>
            </w:r>
          </w:p>
        </w:tc>
        <w:tc>
          <w:tcPr>
            <w:tcW w:w="2352" w:type="dxa"/>
            <w:vMerge w:val="continue"/>
            <w:tcBorders>
              <w:tl2br w:val="nil"/>
              <w:tr2bl w:val="nil"/>
            </w:tcBorders>
            <w:noWrap w:val="0"/>
            <w:vAlign w:val="center"/>
          </w:tcPr>
          <w:p>
            <w:pPr>
              <w:jc w:val="center"/>
              <w:rPr>
                <w:rFonts w:hint="eastAsia" w:ascii="仿宋_GB2312" w:hAnsi="宋体" w:eastAsia="仿宋_GB2312" w:cs="仿宋_GB2312"/>
                <w:i w:val="0"/>
                <w:iCs w:val="0"/>
                <w:color w:val="000000"/>
                <w:sz w:val="24"/>
                <w:szCs w:val="24"/>
                <w:highlight w:val="none"/>
                <w:u w:val="none"/>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00" w:lineRule="auto"/>
        <w:ind w:firstLine="600" w:firstLineChars="200"/>
        <w:jc w:val="both"/>
        <w:textAlignment w:val="auto"/>
        <w:rPr>
          <w:rFonts w:hint="eastAsia" w:ascii="仿宋_GB2312" w:hAnsi="仿宋_GB2312" w:eastAsia="仿宋_GB2312" w:cs="仿宋_GB2312"/>
          <w:color w:val="auto"/>
          <w:sz w:val="30"/>
          <w:szCs w:val="3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备注：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1.此指标体系为第二类审核评估中的方案3，适用于已通过合格评估5年以上，首次参加审核评估、本科办学历史较短的地方应用型普通本科高校。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2.标识“K”为“特色可选项”，高校可根据办学定位和人才培养目标自主选择。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3.审核重点中定量指标的具体要求可参考国家相关标准。其中，【必选】是指该定量指标学校必须选择；【可选】是指该定量指标学校可根据自身发展需要和实际情况自主选择至少8项。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pacing w:val="-11"/>
          <w:sz w:val="24"/>
          <w:szCs w:val="24"/>
          <w:highlight w:val="none"/>
          <w:lang w:val="en-US" w:eastAsia="zh-CN"/>
        </w:rPr>
        <w:t>表中定量指标计算原则上参照《中国教育监测与评价统计指标体系（2020年版）》（教发〔2020〕6号）</w:t>
      </w:r>
      <w:r>
        <w:rPr>
          <w:rFonts w:hint="eastAsia" w:ascii="仿宋_GB2312" w:hAnsi="仿宋_GB2312" w:eastAsia="仿宋_GB2312" w:cs="仿宋_GB2312"/>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生均年教学日常运行支出=教学日常运行支出/折合在校生数。教学日常运行支出：指学校开展普通本专科教学活动及其辅助活动发生的支出，仅指教学基本支出中的商品和服务支出（302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6.年新增教学科研仪器设备所占比例（参照教育部教发〔2004〕2号文件）</w:t>
      </w:r>
      <w:r>
        <w:rPr>
          <w:rFonts w:hint="eastAsia" w:ascii="仿宋_GB2312" w:hAnsi="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年新增教学科研仪器设备所占比例≥10%。凡教学仪器设备总值超过1亿元的高校，当年新增教学仪器设备值超过1000万元，该项指标即为合格。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7.生均教学科研仪器设备值=普通高校教学与科研仪器设备总资产值/折合在校生数(参照教育部教发〔2004〕2号文件)，综合、师范、民族院校，工科、农、林院校和医学院校</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lang w:val="en-US" w:eastAsia="zh-CN"/>
        </w:rPr>
        <w:t>5000元/生，体育、艺术院校</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lang w:val="en-US" w:eastAsia="zh-CN"/>
        </w:rPr>
        <w:t>4000元/生，语文、财经、政法院校</w:t>
      </w:r>
      <w:r>
        <w:rPr>
          <w:rFonts w:hint="eastAsia" w:ascii="仿宋_GB2312" w:hAnsi="仿宋_GB2312" w:eastAsia="仿宋_GB2312" w:cs="仿宋_GB2312"/>
          <w:i w:val="0"/>
          <w:iCs w:val="0"/>
          <w:color w:val="000000"/>
          <w:kern w:val="0"/>
          <w:sz w:val="24"/>
          <w:szCs w:val="24"/>
          <w:highlight w:val="none"/>
          <w:u w:val="none"/>
          <w:lang w:val="en-US" w:eastAsia="zh-CN" w:bidi="ar"/>
        </w:rPr>
        <w:t>≥</w:t>
      </w:r>
      <w:r>
        <w:rPr>
          <w:rFonts w:hint="eastAsia" w:ascii="仿宋_GB2312" w:hAnsi="仿宋_GB2312" w:eastAsia="仿宋_GB2312" w:cs="仿宋_GB2312"/>
          <w:color w:val="auto"/>
          <w:sz w:val="24"/>
          <w:szCs w:val="24"/>
          <w:highlight w:val="none"/>
          <w:lang w:val="en-US" w:eastAsia="zh-CN"/>
        </w:rPr>
        <w:t>3000元/生。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8.生师比=折合在校生数/专任教师总数(参照教育部教发〔2004〕2号文件)，综合、师范、民族院校，工科、农、林院校和语文、财经、政法院校≤18:1；医学院校≤16:1；体育、艺术院校≤11:1。</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折合在校生数=普通本专科在校生数+硕士研究生在校生数*1.5+博士研究生在校生数*2+普通本专科留学生在校生数+硕士留学生在校生数*1.5+博士留学生在校生数*2+普通预科生注册生数+成人业余本专科在校生数*0.3+成人函授本专科在校生数*0.1+网络本专科在校生*0.1+本校中职在校生数+其他(占用教学资源的学历教育学生数，例如成人脱产本专科在校生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both"/>
        <w:textAlignment w:val="auto"/>
        <w:rPr>
          <w:rFonts w:hint="eastAsia" w:ascii="黑体" w:hAnsi="黑体" w:eastAsia="黑体" w:cs="黑体"/>
          <w:sz w:val="32"/>
          <w:szCs w:val="32"/>
          <w:highlight w:val="none"/>
          <w:lang w:val="en-US" w:eastAsia="zh-CN"/>
        </w:rPr>
      </w:pPr>
      <w:r>
        <w:rPr>
          <w:rFonts w:hint="eastAsia" w:ascii="仿宋_GB2312" w:hAnsi="仿宋_GB2312" w:eastAsia="仿宋_GB2312" w:cs="仿宋_GB2312"/>
          <w:color w:val="auto"/>
          <w:sz w:val="24"/>
          <w:szCs w:val="24"/>
          <w:highlight w:val="none"/>
          <w:lang w:val="en-US" w:eastAsia="zh-CN"/>
        </w:rPr>
        <w:t>专任教师总数=本校专任教师数+本学年聘请校外教师数*0.5+临床教师数*0.5；其中：本校专任教师须承担教学任务且人事关系在本校(原则上须连续6个月缴纳人员养老险等社保或人员档案在本校)；校外教师须承担本校教学任务、有聘用合同和劳务费发放记录，聘请校外教师折算数(本学年聘请校外教师数*0.5)不超过专任教师总数的四分之一；临床教师须承担教学任务且人事关系在本校或直属附属医院。</w:t>
      </w:r>
    </w:p>
    <w:p>
      <w:pPr>
        <w:tabs>
          <w:tab w:val="left" w:pos="5670"/>
        </w:tabs>
        <w:rPr>
          <w:rFonts w:hint="eastAsia" w:ascii="黑体" w:hAnsi="黑体" w:eastAsia="黑体" w:cs="黑体"/>
          <w:sz w:val="32"/>
          <w:szCs w:val="32"/>
          <w:highlight w:val="none"/>
          <w:lang w:val="en-US" w:eastAsia="zh-CN"/>
        </w:rPr>
        <w:sectPr>
          <w:pgSz w:w="16838" w:h="11906" w:orient="landscape"/>
          <w:pgMar w:top="1587" w:right="2098" w:bottom="1474" w:left="1984" w:header="0" w:footer="1587" w:gutter="0"/>
          <w:pgBorders>
            <w:top w:val="none" w:sz="0" w:space="0"/>
            <w:left w:val="none" w:sz="0" w:space="0"/>
            <w:bottom w:val="none" w:sz="0" w:space="0"/>
            <w:right w:val="none" w:sz="0" w:space="0"/>
          </w:pgBorders>
          <w:pgNumType w:fmt="numberInDash"/>
          <w:cols w:space="720" w:num="1"/>
          <w:docGrid w:type="lines" w:linePitch="312" w:charSpace="0"/>
        </w:sect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9E1D74-1D8B-497C-93E9-DCADC02C9A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2608F72-8B05-4BC1-BA4B-6B94426EA85D}"/>
  </w:font>
  <w:font w:name="仿宋_GB2312">
    <w:panose1 w:val="02010609030101010101"/>
    <w:charset w:val="86"/>
    <w:family w:val="modern"/>
    <w:pitch w:val="default"/>
    <w:sig w:usb0="00000001" w:usb1="080E0000" w:usb2="00000000" w:usb3="00000000" w:csb0="00040000" w:csb1="00000000"/>
    <w:embedRegular r:id="rId3" w:fontKey="{C535269D-A003-41C2-9657-AD1BD02C3B02}"/>
  </w:font>
  <w:font w:name="方正小标宋简体">
    <w:panose1 w:val="02000000000000000000"/>
    <w:charset w:val="86"/>
    <w:family w:val="auto"/>
    <w:pitch w:val="default"/>
    <w:sig w:usb0="00000001" w:usb1="08000000" w:usb2="00000000" w:usb3="00000000" w:csb0="00040000" w:csb1="00000000"/>
    <w:embedRegular r:id="rId4" w:fontKey="{20C0952A-6718-4D3B-94D2-308F327220F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jMGIxNWYzY2U3MzIzNjc4N2UyYWE4YjZjZWFkNDcifQ=="/>
    <w:docVar w:name="KSO_WPS_MARK_KEY" w:val="8c091cd9-198e-4269-9870-37b15b11c52b"/>
  </w:docVars>
  <w:rsids>
    <w:rsidRoot w:val="27D80A57"/>
    <w:rsid w:val="27D80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2024-09-29T06:45:00Z</dcterms:created>
  <dc:creator>Bonnie</dc:creator>
  <cp:lastModifiedBy>Bonnie</cp:lastModifiedBy>
  <dcterms:modified xsi:type="dcterms:W3CDTF">2024-09-29T06:46:03Z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70992BDEF49D4F69B720CFEB7F1E2C6A</vt:lpwstr>
  </property>
</Properties>
</file>