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p>
    <w:p>
      <w:pPr>
        <w:spacing w:line="640" w:lineRule="exact"/>
        <w:jc w:val="center"/>
        <w:rPr>
          <w:rFonts w:ascii="黑体" w:eastAsia="黑体"/>
          <w:sz w:val="36"/>
          <w:szCs w:val="36"/>
        </w:rPr>
      </w:pPr>
    </w:p>
    <w:p>
      <w:pPr>
        <w:spacing w:line="700" w:lineRule="exact"/>
        <w:jc w:val="center"/>
        <w:rPr>
          <w:rFonts w:ascii="黑体" w:eastAsia="黑体"/>
          <w:sz w:val="36"/>
          <w:szCs w:val="36"/>
        </w:rPr>
      </w:pPr>
    </w:p>
    <w:p>
      <w:pPr>
        <w:spacing w:line="700" w:lineRule="exact"/>
        <w:jc w:val="center"/>
        <w:rPr>
          <w:rFonts w:ascii="黑体" w:eastAsia="黑体"/>
          <w:sz w:val="36"/>
          <w:szCs w:val="36"/>
        </w:rPr>
      </w:pPr>
    </w:p>
    <w:p>
      <w:pPr>
        <w:spacing w:line="520" w:lineRule="exact"/>
        <w:rPr>
          <w:rFonts w:ascii="黑体" w:eastAsia="黑体"/>
          <w:sz w:val="36"/>
          <w:szCs w:val="36"/>
        </w:rPr>
      </w:pPr>
    </w:p>
    <w:p>
      <w:pPr>
        <w:spacing w:line="880" w:lineRule="exact"/>
        <w:jc w:val="center"/>
        <w:rPr>
          <w:rFonts w:ascii="黑体" w:eastAsia="黑体"/>
          <w:sz w:val="36"/>
          <w:szCs w:val="36"/>
        </w:rPr>
      </w:pPr>
    </w:p>
    <w:p>
      <w:pPr>
        <w:pStyle w:val="5"/>
        <w:widowControl w:val="0"/>
        <w:tabs>
          <w:tab w:val="left" w:pos="540"/>
        </w:tabs>
        <w:jc w:val="center"/>
        <w:rPr>
          <w:rFonts w:ascii="仿宋_GB2312" w:eastAsia="仿宋_GB2312"/>
          <w:color w:val="000000"/>
          <w:sz w:val="32"/>
          <w:szCs w:val="32"/>
        </w:rPr>
      </w:pPr>
      <w:r>
        <w:rPr>
          <w:rFonts w:hint="eastAsia" w:ascii="仿宋_GB2312" w:eastAsia="仿宋_GB2312"/>
          <w:color w:val="000000"/>
          <w:sz w:val="32"/>
          <w:szCs w:val="32"/>
        </w:rPr>
        <w:t>校行发〔2019〕264号</w:t>
      </w:r>
    </w:p>
    <w:p>
      <w:pPr>
        <w:pStyle w:val="5"/>
        <w:widowControl w:val="0"/>
        <w:tabs>
          <w:tab w:val="left" w:pos="540"/>
        </w:tabs>
        <w:jc w:val="center"/>
        <w:rPr>
          <w:rFonts w:ascii="仿宋_GB2312" w:eastAsia="仿宋_GB2312"/>
          <w:color w:val="000000"/>
          <w:sz w:val="32"/>
          <w:szCs w:val="32"/>
        </w:rPr>
      </w:pPr>
    </w:p>
    <w:p>
      <w:pPr>
        <w:pStyle w:val="5"/>
        <w:widowControl w:val="0"/>
        <w:tabs>
          <w:tab w:val="left" w:pos="540"/>
        </w:tabs>
        <w:jc w:val="center"/>
        <w:rPr>
          <w:rFonts w:ascii="仿宋_GB2312" w:eastAsia="仿宋_GB2312"/>
          <w:color w:val="000000"/>
          <w:sz w:val="32"/>
          <w:szCs w:val="32"/>
        </w:rPr>
      </w:pPr>
    </w:p>
    <w:p>
      <w:pPr>
        <w:snapToGrid w:val="0"/>
        <w:jc w:val="center"/>
        <w:rPr>
          <w:rFonts w:ascii="方正小标宋简体" w:eastAsia="方正小标宋简体"/>
          <w:color w:val="000000"/>
          <w:sz w:val="44"/>
          <w:szCs w:val="44"/>
        </w:rPr>
      </w:pPr>
      <w:r>
        <w:rPr>
          <w:rFonts w:hint="eastAsia" w:ascii="方正小标宋简体" w:eastAsia="方正小标宋简体"/>
          <w:color w:val="000000"/>
          <w:sz w:val="44"/>
          <w:szCs w:val="44"/>
        </w:rPr>
        <w:t>关于做好2020年教育教学改革</w:t>
      </w:r>
    </w:p>
    <w:p>
      <w:pPr>
        <w:snapToGrid w:val="0"/>
        <w:jc w:val="center"/>
        <w:rPr>
          <w:rFonts w:ascii="方正小标宋简体" w:eastAsia="方正小标宋简体"/>
          <w:color w:val="000000"/>
          <w:sz w:val="44"/>
          <w:szCs w:val="44"/>
        </w:rPr>
      </w:pPr>
      <w:r>
        <w:rPr>
          <w:rFonts w:hint="eastAsia" w:ascii="方正小标宋简体" w:eastAsia="方正小标宋简体"/>
          <w:color w:val="000000"/>
          <w:sz w:val="44"/>
          <w:szCs w:val="44"/>
        </w:rPr>
        <w:t>研究与实践项目立项工作的通知</w:t>
      </w:r>
    </w:p>
    <w:p>
      <w:pPr>
        <w:snapToGrid w:val="0"/>
        <w:rPr>
          <w:rFonts w:ascii="仿宋_GB2312"/>
          <w:szCs w:val="32"/>
        </w:rPr>
      </w:pPr>
      <w:r>
        <w:rPr>
          <w:rFonts w:hint="eastAsia" w:ascii="仿宋_GB2312"/>
          <w:szCs w:val="32"/>
        </w:rPr>
        <w:t xml:space="preserve"> </w:t>
      </w:r>
    </w:p>
    <w:p>
      <w:pPr>
        <w:rPr>
          <w:rFonts w:ascii="仿宋_GB2312"/>
          <w:szCs w:val="32"/>
        </w:rPr>
      </w:pPr>
      <w:r>
        <w:rPr>
          <w:rFonts w:hint="eastAsia" w:ascii="仿宋_GB2312"/>
          <w:szCs w:val="32"/>
        </w:rPr>
        <w:t>学校各单位：</w:t>
      </w:r>
    </w:p>
    <w:p>
      <w:pPr>
        <w:ind w:firstLine="632" w:firstLineChars="200"/>
        <w:rPr>
          <w:rFonts w:ascii="仿宋_GB2312"/>
          <w:szCs w:val="32"/>
        </w:rPr>
      </w:pPr>
      <w:r>
        <w:rPr>
          <w:rFonts w:hint="eastAsia" w:ascii="仿宋_GB2312"/>
          <w:szCs w:val="32"/>
        </w:rPr>
        <w:t>为贯彻全国教育大会和全省教育大会精神，进一步深化教育教学改革，提高教学质量和人才培养水平，学校决定2020年继续开展教育教学改革研究与实践项目（以下简称“教改项目”）立项建设工作及2019年河南省本科高等教育教学改革研究与实践项目推荐工作，现将有关事项通知如下：</w:t>
      </w:r>
    </w:p>
    <w:p>
      <w:pPr>
        <w:numPr>
          <w:ilvl w:val="0"/>
          <w:numId w:val="1"/>
        </w:numPr>
        <w:ind w:firstLine="632" w:firstLineChars="200"/>
        <w:rPr>
          <w:rFonts w:ascii="黑体" w:hAnsi="黑体" w:eastAsia="黑体"/>
          <w:szCs w:val="32"/>
        </w:rPr>
      </w:pPr>
      <w:r>
        <w:rPr>
          <w:rFonts w:hint="eastAsia" w:ascii="黑体" w:hAnsi="黑体" w:eastAsia="黑体"/>
          <w:szCs w:val="32"/>
        </w:rPr>
        <w:t>立项选题</w:t>
      </w:r>
    </w:p>
    <w:p>
      <w:pPr>
        <w:ind w:firstLine="632" w:firstLineChars="200"/>
        <w:rPr>
          <w:rFonts w:ascii="楷体" w:hAnsi="楷体" w:eastAsia="楷体"/>
          <w:szCs w:val="32"/>
        </w:rPr>
      </w:pPr>
      <w:r>
        <w:rPr>
          <w:rFonts w:hint="eastAsia" w:ascii="仿宋_GB2312"/>
          <w:szCs w:val="32"/>
        </w:rPr>
        <w:t>详见《商丘学院教育教学改革研究项目立项指南》（附件1），申报教师可以从指南中选择或自拟题目均可。</w:t>
      </w:r>
    </w:p>
    <w:p>
      <w:pPr>
        <w:numPr>
          <w:ilvl w:val="0"/>
          <w:numId w:val="1"/>
        </w:numPr>
        <w:ind w:firstLine="632" w:firstLineChars="200"/>
        <w:rPr>
          <w:rFonts w:ascii="黑体" w:hAnsi="黑体" w:eastAsia="黑体"/>
          <w:szCs w:val="32"/>
        </w:rPr>
      </w:pPr>
      <w:r>
        <w:rPr>
          <w:rFonts w:hint="eastAsia" w:ascii="黑体" w:hAnsi="黑体" w:eastAsia="黑体"/>
          <w:szCs w:val="32"/>
        </w:rPr>
        <w:t>立项要求</w:t>
      </w:r>
    </w:p>
    <w:p>
      <w:pPr>
        <w:ind w:firstLine="632" w:firstLineChars="200"/>
        <w:rPr>
          <w:rFonts w:ascii="楷体_GB2312" w:hAnsi="楷体" w:eastAsia="楷体_GB2312"/>
          <w:szCs w:val="32"/>
        </w:rPr>
      </w:pPr>
      <w:r>
        <w:rPr>
          <w:rFonts w:hint="eastAsia" w:ascii="楷体_GB2312" w:eastAsia="楷体_GB2312"/>
          <w:szCs w:val="32"/>
        </w:rPr>
        <w:t>（一）2020年教育教学改革研究与实践项目立项建设工作</w:t>
      </w:r>
    </w:p>
    <w:p>
      <w:pPr>
        <w:ind w:firstLine="632" w:firstLineChars="200"/>
        <w:rPr>
          <w:rFonts w:ascii="仿宋_GB2312"/>
          <w:szCs w:val="32"/>
        </w:rPr>
      </w:pPr>
      <w:r>
        <w:rPr>
          <w:rFonts w:hint="eastAsia" w:ascii="仿宋_GB2312"/>
          <w:szCs w:val="32"/>
        </w:rPr>
        <w:t>1.符合新时代高等教育发展理念，具有较强的科学性、适用性、创新性和前瞻性。</w:t>
      </w:r>
    </w:p>
    <w:p>
      <w:pPr>
        <w:ind w:firstLine="632" w:firstLineChars="200"/>
        <w:rPr>
          <w:rFonts w:ascii="仿宋_GB2312"/>
          <w:szCs w:val="32"/>
        </w:rPr>
      </w:pPr>
      <w:r>
        <w:rPr>
          <w:rFonts w:hint="eastAsia" w:ascii="仿宋_GB2312"/>
          <w:szCs w:val="32"/>
        </w:rPr>
        <w:t>2.具有较好的研究基础和较强的研究力量。</w:t>
      </w:r>
    </w:p>
    <w:p>
      <w:pPr>
        <w:ind w:firstLine="632" w:firstLineChars="200"/>
        <w:rPr>
          <w:rFonts w:ascii="仿宋_GB2312"/>
          <w:szCs w:val="32"/>
        </w:rPr>
      </w:pPr>
      <w:r>
        <w:rPr>
          <w:rFonts w:hint="eastAsia" w:ascii="仿宋_GB2312"/>
          <w:szCs w:val="32"/>
        </w:rPr>
        <w:t>3.研究目标明确，研究思路清晰，有整体的研究设计方案，有明确的预期成果。</w:t>
      </w:r>
    </w:p>
    <w:p>
      <w:pPr>
        <w:ind w:firstLine="632" w:firstLineChars="200"/>
        <w:rPr>
          <w:rFonts w:ascii="仿宋_GB2312"/>
          <w:szCs w:val="32"/>
        </w:rPr>
      </w:pPr>
      <w:r>
        <w:rPr>
          <w:rFonts w:hint="eastAsia" w:ascii="仿宋_GB2312"/>
          <w:szCs w:val="32"/>
        </w:rPr>
        <w:t>4.研究成果具有一定的推广价值，具有较强的实践意义和可操作性。</w:t>
      </w:r>
    </w:p>
    <w:p>
      <w:pPr>
        <w:ind w:firstLine="632" w:firstLineChars="200"/>
        <w:rPr>
          <w:rFonts w:ascii="仿宋_GB2312"/>
          <w:kern w:val="0"/>
          <w:szCs w:val="32"/>
        </w:rPr>
      </w:pPr>
      <w:r>
        <w:rPr>
          <w:rFonts w:hint="eastAsia" w:ascii="仿宋_GB2312"/>
          <w:szCs w:val="32"/>
        </w:rPr>
        <w:t>5.支持和鼓励多单位联合交叉申报，促进各单位间的交流与合作。联合申请的项目需明确所属单位及项目负责人。</w:t>
      </w:r>
    </w:p>
    <w:p>
      <w:pPr>
        <w:ind w:firstLine="632" w:firstLineChars="200"/>
        <w:rPr>
          <w:rFonts w:ascii="仿宋_GB2312"/>
          <w:szCs w:val="32"/>
        </w:rPr>
      </w:pPr>
      <w:r>
        <w:rPr>
          <w:rFonts w:hint="eastAsia" w:ascii="仿宋_GB2312"/>
          <w:szCs w:val="32"/>
        </w:rPr>
        <w:t>6.项目主持人应具有讲师或中级以上职称，有丰富的教学实践经历、较高的研究水平、较强的组织管理能力。</w:t>
      </w:r>
    </w:p>
    <w:p>
      <w:pPr>
        <w:ind w:firstLine="632" w:firstLineChars="200"/>
        <w:rPr>
          <w:rFonts w:ascii="楷体_GB2312" w:eastAsia="楷体_GB2312"/>
          <w:szCs w:val="32"/>
        </w:rPr>
      </w:pPr>
      <w:r>
        <w:rPr>
          <w:rFonts w:hint="eastAsia" w:ascii="楷体_GB2312" w:eastAsia="楷体_GB2312"/>
          <w:szCs w:val="32"/>
        </w:rPr>
        <w:t>（二）2019年河南省本科高等教育教学改革研究与实践项目推荐工作</w:t>
      </w:r>
    </w:p>
    <w:p>
      <w:pPr>
        <w:ind w:firstLine="632" w:firstLineChars="200"/>
        <w:rPr>
          <w:rFonts w:ascii="仿宋_GB2312"/>
          <w:szCs w:val="32"/>
        </w:rPr>
      </w:pPr>
      <w:r>
        <w:rPr>
          <w:rFonts w:hint="eastAsia" w:ascii="仿宋_GB2312"/>
          <w:szCs w:val="32"/>
        </w:rPr>
        <w:t>1.符合新时代高等教育发展理念，具有较强的科学性、适用性、创新性和前瞻性。</w:t>
      </w:r>
    </w:p>
    <w:p>
      <w:pPr>
        <w:ind w:firstLine="632" w:firstLineChars="200"/>
        <w:rPr>
          <w:rFonts w:ascii="仿宋_GB2312"/>
          <w:szCs w:val="32"/>
        </w:rPr>
      </w:pPr>
      <w:r>
        <w:rPr>
          <w:rFonts w:hint="eastAsia" w:ascii="仿宋_GB2312"/>
          <w:szCs w:val="32"/>
        </w:rPr>
        <w:t>2.具有较好的研究基础和较强的研究力量.学校在经费和条件保障等方面有保证。</w:t>
      </w:r>
    </w:p>
    <w:p>
      <w:pPr>
        <w:ind w:firstLine="632" w:firstLineChars="200"/>
        <w:rPr>
          <w:rFonts w:ascii="仿宋_GB2312"/>
          <w:szCs w:val="32"/>
        </w:rPr>
      </w:pPr>
      <w:r>
        <w:rPr>
          <w:rFonts w:hint="eastAsia" w:ascii="仿宋_GB2312"/>
          <w:szCs w:val="32"/>
        </w:rPr>
        <w:t>3.研究目标明确，研究思路清晰，有整体的研究设计方案，有明确的预期成果。</w:t>
      </w:r>
    </w:p>
    <w:p>
      <w:pPr>
        <w:ind w:firstLine="632" w:firstLineChars="200"/>
        <w:rPr>
          <w:rFonts w:ascii="仿宋_GB2312"/>
          <w:szCs w:val="32"/>
        </w:rPr>
      </w:pPr>
      <w:r>
        <w:rPr>
          <w:rFonts w:hint="eastAsia" w:ascii="仿宋_GB2312"/>
          <w:szCs w:val="32"/>
        </w:rPr>
        <w:t>4.研究成果具有一定的推广价值，具有较强的实践意义和可操作性。</w:t>
      </w:r>
    </w:p>
    <w:p>
      <w:pPr>
        <w:ind w:firstLine="632" w:firstLineChars="200"/>
        <w:rPr>
          <w:rFonts w:ascii="仿宋_GB2312"/>
          <w:szCs w:val="32"/>
        </w:rPr>
      </w:pPr>
      <w:r>
        <w:rPr>
          <w:rFonts w:hint="eastAsia" w:ascii="仿宋_GB2312"/>
          <w:szCs w:val="32"/>
        </w:rPr>
        <w:t>5.支持和鼓励多所院校联合申报，促进校际间的交流与合作。鼓励高校吸收行业、企业人员参与教改项目研究与实践。联合申请的项目需明确主持学校及项目负责人。</w:t>
      </w:r>
    </w:p>
    <w:p>
      <w:pPr>
        <w:ind w:firstLine="632" w:firstLineChars="200"/>
        <w:rPr>
          <w:rFonts w:ascii="仿宋_GB2312"/>
          <w:szCs w:val="32"/>
        </w:rPr>
      </w:pPr>
      <w:r>
        <w:rPr>
          <w:rFonts w:hint="eastAsia" w:ascii="仿宋_GB2312"/>
          <w:szCs w:val="32"/>
        </w:rPr>
        <w:t>6.项目主持人应具有高级职称（青年教师课堂教学创新大赛一等奖及以上获奖教师除外），有丰富的教学实践经历、较高的研究水平、较强的组织管理能力，主持完成过校级以上教改项目。项目主要成员必须直接参加项目方案设计、论证、研究和实施。</w:t>
      </w:r>
    </w:p>
    <w:p>
      <w:pPr>
        <w:numPr>
          <w:ilvl w:val="0"/>
          <w:numId w:val="1"/>
        </w:numPr>
        <w:ind w:firstLine="632" w:firstLineChars="200"/>
        <w:rPr>
          <w:rFonts w:ascii="黑体" w:hAnsi="黑体" w:eastAsia="黑体"/>
          <w:szCs w:val="32"/>
        </w:rPr>
      </w:pPr>
      <w:r>
        <w:rPr>
          <w:rFonts w:hint="eastAsia" w:ascii="黑体" w:hAnsi="黑体" w:eastAsia="黑体"/>
          <w:szCs w:val="32"/>
        </w:rPr>
        <w:t>申报限额</w:t>
      </w:r>
    </w:p>
    <w:p>
      <w:pPr>
        <w:ind w:firstLine="632" w:firstLineChars="200"/>
        <w:rPr>
          <w:rFonts w:ascii="仿宋_GB2312"/>
          <w:szCs w:val="32"/>
        </w:rPr>
      </w:pPr>
      <w:r>
        <w:rPr>
          <w:rFonts w:hint="eastAsia" w:ascii="仿宋_GB2312"/>
          <w:szCs w:val="32"/>
        </w:rPr>
        <w:t>（一）2020年校级重点项目每个教学单位限报1项，一般项目每个单位2项以上。</w:t>
      </w:r>
    </w:p>
    <w:p>
      <w:pPr>
        <w:numPr>
          <w:ilvl w:val="0"/>
          <w:numId w:val="2"/>
        </w:numPr>
        <w:ind w:firstLine="632" w:firstLineChars="200"/>
        <w:rPr>
          <w:rFonts w:ascii="仿宋_GB2312"/>
          <w:szCs w:val="32"/>
        </w:rPr>
      </w:pPr>
      <w:r>
        <w:rPr>
          <w:rFonts w:hint="eastAsia" w:ascii="仿宋_GB2312"/>
          <w:szCs w:val="32"/>
        </w:rPr>
        <w:t>已立项的校级教改项目不再重复申报，在研尚未结项的教改项目主持人不得再申报。</w:t>
      </w:r>
    </w:p>
    <w:p>
      <w:pPr>
        <w:numPr>
          <w:ilvl w:val="0"/>
          <w:numId w:val="2"/>
        </w:numPr>
        <w:ind w:firstLine="632" w:firstLineChars="200"/>
        <w:rPr>
          <w:rFonts w:ascii="仿宋_GB2312"/>
          <w:szCs w:val="32"/>
        </w:rPr>
      </w:pPr>
      <w:r>
        <w:rPr>
          <w:rFonts w:hint="eastAsia" w:ascii="仿宋_GB2312"/>
          <w:szCs w:val="32"/>
        </w:rPr>
        <w:t>省级教改项目推荐从2019年、2020年立项的重点项目中择优推荐。</w:t>
      </w:r>
    </w:p>
    <w:p>
      <w:pPr>
        <w:ind w:firstLine="632" w:firstLineChars="200"/>
        <w:rPr>
          <w:rFonts w:ascii="黑体" w:hAnsi="黑体" w:eastAsia="黑体"/>
          <w:szCs w:val="32"/>
        </w:rPr>
      </w:pPr>
      <w:r>
        <w:rPr>
          <w:rFonts w:hint="eastAsia" w:ascii="黑体" w:hAnsi="黑体" w:eastAsia="黑体"/>
          <w:szCs w:val="32"/>
        </w:rPr>
        <w:t>四、立项程序</w:t>
      </w:r>
    </w:p>
    <w:p>
      <w:pPr>
        <w:ind w:firstLine="632" w:firstLineChars="200"/>
        <w:rPr>
          <w:rFonts w:ascii="仿宋_GB2312"/>
          <w:szCs w:val="32"/>
        </w:rPr>
      </w:pPr>
      <w:r>
        <w:rPr>
          <w:rFonts w:hint="eastAsia" w:ascii="仿宋_GB2312"/>
          <w:szCs w:val="32"/>
        </w:rPr>
        <w:t>（一）单位推荐。各单位根据《商丘学院教育教学改革研究项目立项指南》（附件1）择优推荐，教务处只接受各单位推荐的项目，不受理个人申请。超过一个以上的推荐项目应排序申报。两个及以上单位联合申报的项目，由主持人所在单位申报。</w:t>
      </w:r>
    </w:p>
    <w:p>
      <w:pPr>
        <w:ind w:firstLine="632" w:firstLineChars="200"/>
        <w:rPr>
          <w:rFonts w:ascii="仿宋_GB2312"/>
          <w:szCs w:val="32"/>
        </w:rPr>
      </w:pPr>
      <w:r>
        <w:rPr>
          <w:rFonts w:hint="eastAsia" w:ascii="仿宋_GB2312"/>
          <w:szCs w:val="32"/>
        </w:rPr>
        <w:t>（二）专家评审。教务处组织有关专家组成评审委员会。评审工作实行回避制度，坚持公开、公平、公正，择优遴选。并根据排名情况推荐申报2019年河南省本科高等教育教学改革研究与实践项目。</w:t>
      </w:r>
    </w:p>
    <w:p>
      <w:pPr>
        <w:ind w:firstLine="632" w:firstLineChars="200"/>
        <w:rPr>
          <w:rFonts w:ascii="仿宋_GB2312"/>
          <w:szCs w:val="32"/>
        </w:rPr>
      </w:pPr>
      <w:r>
        <w:rPr>
          <w:rFonts w:hint="eastAsia" w:ascii="仿宋_GB2312"/>
          <w:szCs w:val="32"/>
        </w:rPr>
        <w:t>（三）网上公示。教务处根据专家评审结果，对教改拟立项项目网上公示，接受全校监督。</w:t>
      </w:r>
    </w:p>
    <w:p>
      <w:pPr>
        <w:ind w:firstLine="632" w:firstLineChars="200"/>
        <w:rPr>
          <w:rFonts w:ascii="仿宋_GB2312"/>
          <w:szCs w:val="32"/>
        </w:rPr>
      </w:pPr>
      <w:r>
        <w:rPr>
          <w:rFonts w:hint="eastAsia" w:ascii="仿宋_GB2312"/>
          <w:szCs w:val="32"/>
        </w:rPr>
        <w:t>（四）立项公布。拟立项的教改项目经公示无异议后，由教务处出文公布。</w:t>
      </w:r>
    </w:p>
    <w:p>
      <w:pPr>
        <w:ind w:firstLine="632" w:firstLineChars="200"/>
        <w:rPr>
          <w:rFonts w:ascii="黑体" w:hAnsi="黑体" w:eastAsia="黑体"/>
          <w:szCs w:val="32"/>
        </w:rPr>
      </w:pPr>
      <w:r>
        <w:rPr>
          <w:rFonts w:hint="eastAsia" w:ascii="黑体" w:hAnsi="黑体" w:eastAsia="黑体"/>
          <w:szCs w:val="32"/>
        </w:rPr>
        <w:t>五、工作要求</w:t>
      </w:r>
    </w:p>
    <w:p>
      <w:pPr>
        <w:ind w:firstLine="632" w:firstLineChars="200"/>
        <w:rPr>
          <w:rFonts w:ascii="仿宋_GB2312"/>
          <w:szCs w:val="32"/>
        </w:rPr>
      </w:pPr>
      <w:r>
        <w:rPr>
          <w:rFonts w:hint="eastAsia" w:ascii="仿宋_GB2312"/>
          <w:szCs w:val="32"/>
        </w:rPr>
        <w:t>各单位务必于2019年12月2日前将立项申报有关材料报送至教务处，逾期视为自动放弃。须报送的材料包括：</w:t>
      </w:r>
    </w:p>
    <w:p>
      <w:pPr>
        <w:ind w:firstLine="632" w:firstLineChars="200"/>
        <w:rPr>
          <w:rFonts w:ascii="仿宋_GB2312"/>
          <w:szCs w:val="32"/>
        </w:rPr>
      </w:pPr>
      <w:r>
        <w:rPr>
          <w:rFonts w:hint="eastAsia" w:ascii="仿宋_GB2312"/>
          <w:szCs w:val="32"/>
        </w:rPr>
        <w:t>（一）《商丘学院教育教学改革研究项目立项申请书》（附件2，一式二份）、《商丘学院教育教学改革研究项目立项申报汇总表》（附件3）（1份），并附上述材料电子版一份。</w:t>
      </w:r>
    </w:p>
    <w:p>
      <w:pPr>
        <w:ind w:firstLine="632" w:firstLineChars="200"/>
        <w:rPr>
          <w:rFonts w:ascii="仿宋_GB2312"/>
          <w:szCs w:val="32"/>
        </w:rPr>
      </w:pPr>
      <w:r>
        <w:rPr>
          <w:rFonts w:hint="eastAsia" w:ascii="仿宋_GB2312"/>
          <w:szCs w:val="32"/>
        </w:rPr>
        <w:t>（二）相关支撑材料：项目主持人和主要参加人员近三年内教育教学改革方面的主要成果，包括与项目有关方面的获奖证书复印件，正式出版或发表的论著目录及论著复印件（一式二份，按序装订成册）。</w:t>
      </w:r>
    </w:p>
    <w:p>
      <w:pPr>
        <w:ind w:firstLine="632" w:firstLineChars="200"/>
        <w:rPr>
          <w:rFonts w:ascii="仿宋_GB2312"/>
          <w:szCs w:val="32"/>
        </w:rPr>
      </w:pPr>
      <w:r>
        <w:rPr>
          <w:rFonts w:hint="eastAsia" w:ascii="仿宋_GB2312"/>
          <w:szCs w:val="32"/>
        </w:rPr>
        <w:t>申报材料严禁弄虚作假，重复申报，一经发现，取消立项资格。</w:t>
      </w:r>
    </w:p>
    <w:p>
      <w:pPr>
        <w:ind w:firstLine="632" w:firstLineChars="200"/>
        <w:rPr>
          <w:rFonts w:ascii="仿宋_GB2312"/>
          <w:szCs w:val="32"/>
        </w:rPr>
      </w:pPr>
      <w:r>
        <w:rPr>
          <w:rFonts w:hint="eastAsia" w:ascii="仿宋_GB2312"/>
          <w:szCs w:val="32"/>
        </w:rPr>
        <w:t>联 系 人：郭慧芳</w:t>
      </w:r>
    </w:p>
    <w:p>
      <w:pPr>
        <w:ind w:firstLine="632" w:firstLineChars="200"/>
        <w:rPr>
          <w:rFonts w:ascii="仿宋_GB2312"/>
          <w:szCs w:val="32"/>
        </w:rPr>
      </w:pPr>
      <w:r>
        <w:rPr>
          <w:rFonts w:hint="eastAsia" w:ascii="仿宋_GB2312"/>
          <w:szCs w:val="32"/>
        </w:rPr>
        <w:t>联系电话：0370-3555502</w:t>
      </w:r>
    </w:p>
    <w:p>
      <w:pPr>
        <w:ind w:firstLine="632" w:firstLineChars="200"/>
        <w:rPr>
          <w:rFonts w:ascii="仿宋_GB2312"/>
          <w:szCs w:val="32"/>
        </w:rPr>
      </w:pPr>
      <w:r>
        <w:rPr>
          <w:rFonts w:hint="eastAsia" w:ascii="仿宋_GB2312"/>
          <w:szCs w:val="32"/>
        </w:rPr>
        <w:t>电子信箱：2273339534@qq.com</w:t>
      </w:r>
    </w:p>
    <w:p>
      <w:pPr>
        <w:widowControl/>
        <w:rPr>
          <w:rFonts w:ascii="仿宋_GB2312"/>
          <w:szCs w:val="32"/>
        </w:rPr>
      </w:pPr>
      <w:r>
        <w:rPr>
          <w:rFonts w:hint="eastAsia" w:ascii="仿宋_GB2312"/>
          <w:szCs w:val="32"/>
        </w:rPr>
        <w:t xml:space="preserve"> </w:t>
      </w:r>
    </w:p>
    <w:p>
      <w:pPr>
        <w:ind w:firstLine="632" w:firstLineChars="200"/>
        <w:rPr>
          <w:rFonts w:ascii="仿宋_GB2312"/>
          <w:szCs w:val="32"/>
        </w:rPr>
      </w:pPr>
      <w:r>
        <w:rPr>
          <w:rFonts w:hint="eastAsia" w:ascii="仿宋_GB2312"/>
          <w:szCs w:val="32"/>
        </w:rPr>
        <w:t>附件：1.商丘学院教育教学改革研究项目立项指南</w:t>
      </w:r>
    </w:p>
    <w:p>
      <w:pPr>
        <w:ind w:firstLine="1580" w:firstLineChars="500"/>
        <w:rPr>
          <w:rFonts w:ascii="仿宋_GB2312"/>
          <w:szCs w:val="32"/>
        </w:rPr>
      </w:pPr>
      <w:r>
        <w:rPr>
          <w:rFonts w:hint="eastAsia" w:ascii="仿宋_GB2312"/>
          <w:szCs w:val="32"/>
        </w:rPr>
        <w:t>2.商丘学院教育教学改革研究项目立项申请书</w:t>
      </w:r>
    </w:p>
    <w:p>
      <w:pPr>
        <w:ind w:firstLine="1580" w:firstLineChars="500"/>
        <w:rPr>
          <w:rFonts w:ascii="仿宋_GB2312"/>
          <w:szCs w:val="32"/>
        </w:rPr>
      </w:pPr>
      <w:r>
        <w:rPr>
          <w:rFonts w:hint="eastAsia" w:ascii="仿宋_GB2312"/>
          <w:szCs w:val="32"/>
        </w:rPr>
        <w:t>3.</w:t>
      </w:r>
      <w:r>
        <w:rPr>
          <w:rFonts w:hint="eastAsia" w:ascii="仿宋_GB2312"/>
          <w:spacing w:val="-11"/>
          <w:szCs w:val="32"/>
        </w:rPr>
        <w:t>商丘学院教育教学改革研究项目立项申报汇总表</w:t>
      </w:r>
    </w:p>
    <w:p>
      <w:pPr>
        <w:ind w:firstLine="1580" w:firstLineChars="500"/>
        <w:rPr>
          <w:rFonts w:ascii="仿宋_GB2312"/>
          <w:szCs w:val="32"/>
        </w:rPr>
      </w:pPr>
      <w:r>
        <w:rPr>
          <w:rFonts w:hint="eastAsia" w:ascii="仿宋_GB2312"/>
          <w:szCs w:val="32"/>
        </w:rPr>
        <w:t>（附件材料在教务处网站下载）</w:t>
      </w:r>
    </w:p>
    <w:p>
      <w:pPr>
        <w:rPr>
          <w:rFonts w:ascii="仿宋_GB2312"/>
          <w:szCs w:val="32"/>
        </w:rPr>
      </w:pPr>
      <w:r>
        <w:rPr>
          <w:rFonts w:hint="eastAsia" w:ascii="仿宋_GB2312"/>
          <w:szCs w:val="32"/>
        </w:rPr>
        <w:t xml:space="preserve"> </w:t>
      </w:r>
    </w:p>
    <w:p>
      <w:pPr>
        <w:ind w:firstLine="632" w:firstLineChars="200"/>
        <w:rPr>
          <w:rFonts w:ascii="仿宋_GB2312"/>
          <w:szCs w:val="32"/>
        </w:rPr>
      </w:pPr>
      <w:r>
        <w:rPr>
          <w:rFonts w:hint="eastAsia" w:ascii="仿宋_GB2312"/>
          <w:szCs w:val="32"/>
        </w:rPr>
        <w:t xml:space="preserve"> </w:t>
      </w:r>
    </w:p>
    <w:p>
      <w:pPr>
        <w:wordWrap w:val="0"/>
        <w:jc w:val="right"/>
        <w:rPr>
          <w:rFonts w:ascii="仿宋_GB2312"/>
          <w:szCs w:val="32"/>
        </w:rPr>
      </w:pPr>
      <w:r>
        <w:rPr>
          <w:rFonts w:hint="eastAsia" w:ascii="仿宋_GB2312"/>
          <w:szCs w:val="32"/>
        </w:rPr>
        <w:t xml:space="preserve">2019年11月24日        </w:t>
      </w: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snapToGrid w:val="0"/>
        <w:jc w:val="left"/>
        <w:rPr>
          <w:rFonts w:ascii="仿宋_GB2312"/>
          <w:szCs w:val="32"/>
        </w:rPr>
      </w:pPr>
    </w:p>
    <w:p>
      <w:pPr>
        <w:jc w:val="left"/>
        <w:rPr>
          <w:rFonts w:ascii="黑体" w:hAnsi="黑体" w:eastAsia="黑体"/>
          <w:szCs w:val="32"/>
        </w:rPr>
      </w:pPr>
      <w:r>
        <w:rPr>
          <w:rFonts w:hint="eastAsia" w:ascii="黑体" w:hAnsi="黑体" w:eastAsia="黑体"/>
          <w:szCs w:val="32"/>
        </w:rPr>
        <w:t>附件1</w:t>
      </w:r>
    </w:p>
    <w:p>
      <w:pPr>
        <w:jc w:val="left"/>
        <w:rPr>
          <w:rFonts w:ascii="黑体" w:hAnsi="黑体" w:eastAsia="黑体"/>
          <w:szCs w:val="32"/>
        </w:rPr>
      </w:pPr>
    </w:p>
    <w:p>
      <w:pPr>
        <w:autoSpaceDE w:val="0"/>
        <w:snapToGrid w:val="0"/>
        <w:jc w:val="center"/>
        <w:rPr>
          <w:rFonts w:ascii="方正小标宋简体" w:eastAsia="方正小标宋简体"/>
          <w:sz w:val="44"/>
          <w:szCs w:val="44"/>
        </w:rPr>
      </w:pPr>
      <w:r>
        <w:rPr>
          <w:rFonts w:hint="eastAsia" w:ascii="方正小标宋简体" w:eastAsia="方正小标宋简体"/>
          <w:sz w:val="44"/>
          <w:szCs w:val="44"/>
        </w:rPr>
        <w:t>商丘学院教育教学改革研究项目</w:t>
      </w:r>
    </w:p>
    <w:p>
      <w:pPr>
        <w:autoSpaceDE w:val="0"/>
        <w:snapToGrid w:val="0"/>
        <w:jc w:val="center"/>
        <w:rPr>
          <w:rFonts w:ascii="黑体" w:eastAsia="黑体"/>
        </w:rPr>
      </w:pPr>
      <w:r>
        <w:rPr>
          <w:rFonts w:hint="eastAsia" w:ascii="方正小标宋简体" w:eastAsia="方正小标宋简体"/>
          <w:sz w:val="44"/>
          <w:szCs w:val="44"/>
        </w:rPr>
        <w:t>立 项 指 南</w:t>
      </w:r>
    </w:p>
    <w:p>
      <w:pPr>
        <w:autoSpaceDE w:val="0"/>
        <w:snapToGrid w:val="0"/>
        <w:ind w:firstLine="632" w:firstLineChars="200"/>
        <w:rPr>
          <w:rFonts w:ascii="宋体" w:hAnsi="宋体"/>
        </w:rPr>
      </w:pPr>
    </w:p>
    <w:p>
      <w:pPr>
        <w:autoSpaceDE w:val="0"/>
        <w:ind w:firstLine="632" w:firstLineChars="200"/>
        <w:rPr>
          <w:rFonts w:ascii="仿宋_GB2312"/>
        </w:rPr>
      </w:pPr>
      <w:r>
        <w:rPr>
          <w:rFonts w:hint="eastAsia" w:ascii="宋体" w:hAnsi="宋体"/>
        </w:rPr>
        <w:t>商丘学院教育教学改革研究项目立项指南，分为校级重点项目、校级一般项目和校级</w:t>
      </w:r>
      <w:r>
        <w:rPr>
          <w:rFonts w:hint="eastAsia" w:ascii="宋体" w:hAnsi="宋体"/>
          <w:lang w:eastAsia="zh-CN"/>
        </w:rPr>
        <w:t>自主</w:t>
      </w:r>
      <w:bookmarkStart w:id="0" w:name="_GoBack"/>
      <w:bookmarkEnd w:id="0"/>
      <w:r>
        <w:rPr>
          <w:rFonts w:hint="eastAsia" w:ascii="宋体" w:hAnsi="宋体"/>
        </w:rPr>
        <w:t>项目，共分为综合研究、人才培养模式改革与专业建设、课程与教材改革、实践教学改革、教学手段与教学方法改革、教育教学管理六大类。</w:t>
      </w:r>
    </w:p>
    <w:p>
      <w:pPr>
        <w:autoSpaceDE w:val="0"/>
        <w:ind w:firstLine="632" w:firstLineChars="200"/>
        <w:rPr>
          <w:rFonts w:ascii="黑体" w:eastAsia="黑体"/>
          <w:color w:val="000000"/>
        </w:rPr>
      </w:pPr>
      <w:r>
        <w:rPr>
          <w:rFonts w:hint="eastAsia" w:ascii="黑体" w:hAnsi="黑体" w:eastAsia="黑体"/>
          <w:color w:val="000000"/>
        </w:rPr>
        <w:t>一、综合研究</w:t>
      </w:r>
    </w:p>
    <w:p>
      <w:pPr>
        <w:autoSpaceDE w:val="0"/>
        <w:ind w:firstLine="632" w:firstLineChars="200"/>
        <w:rPr>
          <w:rFonts w:ascii="仿宋_GB2312"/>
          <w:color w:val="000000"/>
        </w:rPr>
      </w:pPr>
      <w:r>
        <w:rPr>
          <w:rFonts w:hint="eastAsia" w:ascii="宋体" w:hAnsi="宋体"/>
          <w:color w:val="000000"/>
        </w:rPr>
        <w:t>本类选题侧重于从全省宏观战略高度研究教育教学改革的重大问题，为深化教学改革，加强教学基本建设，提高人才培养质量提供政策建议和条件支持。</w:t>
      </w:r>
    </w:p>
    <w:p>
      <w:pPr>
        <w:autoSpaceDE w:val="0"/>
        <w:ind w:firstLine="632" w:firstLineChars="200"/>
        <w:rPr>
          <w:rFonts w:ascii="仿宋_GB2312"/>
          <w:color w:val="000000"/>
        </w:rPr>
      </w:pPr>
      <w:r>
        <w:rPr>
          <w:rFonts w:hint="eastAsia" w:ascii="仿宋_GB2312"/>
          <w:color w:val="000000"/>
        </w:rPr>
        <w:t>1-1.</w:t>
      </w:r>
      <w:r>
        <w:rPr>
          <w:rFonts w:hint="eastAsia" w:ascii="宋体" w:hAnsi="宋体"/>
          <w:color w:val="000000"/>
        </w:rPr>
        <w:t>全面深化高等教育教学综合改革的研究与实践；</w:t>
      </w:r>
    </w:p>
    <w:p>
      <w:pPr>
        <w:autoSpaceDE w:val="0"/>
        <w:ind w:firstLine="632" w:firstLineChars="200"/>
        <w:rPr>
          <w:rFonts w:ascii="仿宋_GB2312"/>
          <w:color w:val="000000"/>
        </w:rPr>
      </w:pPr>
      <w:r>
        <w:rPr>
          <w:rFonts w:hint="eastAsia" w:ascii="仿宋_GB2312"/>
          <w:color w:val="000000"/>
        </w:rPr>
        <w:t>1-2.</w:t>
      </w:r>
      <w:r>
        <w:rPr>
          <w:rFonts w:hint="eastAsia" w:ascii="宋体" w:hAnsi="宋体"/>
          <w:color w:val="000000"/>
        </w:rPr>
        <w:t>河南省高等教育统筹管理与分类指导相关问题的研究与实践；</w:t>
      </w:r>
    </w:p>
    <w:p>
      <w:pPr>
        <w:autoSpaceDE w:val="0"/>
        <w:ind w:firstLine="632" w:firstLineChars="200"/>
        <w:rPr>
          <w:rFonts w:ascii="仿宋_GB2312"/>
          <w:color w:val="000000"/>
        </w:rPr>
      </w:pPr>
      <w:r>
        <w:rPr>
          <w:rFonts w:hint="eastAsia" w:ascii="仿宋_GB2312"/>
          <w:color w:val="000000"/>
        </w:rPr>
        <w:t>1-3.</w:t>
      </w:r>
      <w:r>
        <w:rPr>
          <w:rFonts w:hint="eastAsia" w:ascii="宋体" w:hAnsi="宋体"/>
          <w:color w:val="000000"/>
        </w:rPr>
        <w:t>提升高等教育教学质量关键问题的研究与实践；</w:t>
      </w:r>
    </w:p>
    <w:p>
      <w:pPr>
        <w:autoSpaceDE w:val="0"/>
        <w:ind w:firstLine="616" w:firstLineChars="200"/>
        <w:rPr>
          <w:rFonts w:ascii="仿宋_GB2312"/>
          <w:color w:val="000000"/>
          <w:spacing w:val="-4"/>
        </w:rPr>
      </w:pPr>
      <w:r>
        <w:rPr>
          <w:rFonts w:hint="eastAsia" w:ascii="仿宋_GB2312"/>
          <w:color w:val="000000"/>
          <w:spacing w:val="-4"/>
        </w:rPr>
        <w:t>1-4.</w:t>
      </w:r>
      <w:r>
        <w:rPr>
          <w:rFonts w:hint="eastAsia" w:ascii="宋体" w:hAnsi="宋体"/>
          <w:color w:val="000000"/>
          <w:spacing w:val="-4"/>
        </w:rPr>
        <w:t>增强河南省高等学校教育教学核心竞争力的研究与实践；</w:t>
      </w:r>
    </w:p>
    <w:p>
      <w:pPr>
        <w:autoSpaceDE w:val="0"/>
        <w:ind w:firstLine="616" w:firstLineChars="200"/>
        <w:rPr>
          <w:rFonts w:ascii="仿宋_GB2312"/>
          <w:color w:val="000000"/>
          <w:spacing w:val="-4"/>
        </w:rPr>
      </w:pPr>
      <w:r>
        <w:rPr>
          <w:rFonts w:hint="eastAsia" w:ascii="仿宋_GB2312"/>
          <w:color w:val="000000"/>
          <w:spacing w:val="-4"/>
        </w:rPr>
        <w:t>1-5.</w:t>
      </w:r>
      <w:r>
        <w:rPr>
          <w:rFonts w:hint="eastAsia" w:ascii="宋体" w:hAnsi="宋体"/>
          <w:color w:val="000000"/>
          <w:spacing w:val="-4"/>
        </w:rPr>
        <w:t>河南省各类高等学校办学定位及特色办学的研究与实践</w:t>
      </w:r>
      <w:r>
        <w:rPr>
          <w:rFonts w:hint="eastAsia" w:ascii="仿宋_GB2312"/>
          <w:color w:val="000000"/>
          <w:spacing w:val="-4"/>
        </w:rPr>
        <w:t>;</w:t>
      </w:r>
    </w:p>
    <w:p>
      <w:pPr>
        <w:autoSpaceDE w:val="0"/>
        <w:ind w:firstLine="632" w:firstLineChars="200"/>
        <w:rPr>
          <w:rFonts w:ascii="仿宋_GB2312"/>
          <w:color w:val="000000"/>
          <w:spacing w:val="-4"/>
        </w:rPr>
      </w:pPr>
      <w:r>
        <w:rPr>
          <w:rFonts w:hint="eastAsia" w:ascii="仿宋_GB2312"/>
          <w:color w:val="000000"/>
        </w:rPr>
        <w:t>1-6.</w:t>
      </w:r>
      <w:r>
        <w:rPr>
          <w:rFonts w:hint="eastAsia" w:ascii="宋体" w:hAnsi="宋体"/>
          <w:color w:val="000000"/>
        </w:rPr>
        <w:t>地方高等教育</w:t>
      </w:r>
      <w:r>
        <w:rPr>
          <w:rFonts w:hint="eastAsia" w:ascii="宋体" w:hAnsi="宋体"/>
          <w:color w:val="000000"/>
          <w:spacing w:val="-4"/>
        </w:rPr>
        <w:t>人才培养目标定位及质量标准体系的研究与实践；</w:t>
      </w:r>
    </w:p>
    <w:p>
      <w:pPr>
        <w:autoSpaceDE w:val="0"/>
        <w:ind w:firstLine="616" w:firstLineChars="200"/>
        <w:rPr>
          <w:rFonts w:ascii="仿宋_GB2312"/>
          <w:color w:val="000000"/>
          <w:spacing w:val="-4"/>
        </w:rPr>
      </w:pPr>
      <w:r>
        <w:rPr>
          <w:rFonts w:hint="eastAsia" w:ascii="仿宋_GB2312"/>
          <w:color w:val="000000"/>
          <w:spacing w:val="-4"/>
        </w:rPr>
        <w:t>1-7.</w:t>
      </w:r>
      <w:r>
        <w:rPr>
          <w:rFonts w:hint="eastAsia" w:ascii="宋体" w:hAnsi="宋体"/>
          <w:color w:val="000000"/>
          <w:spacing w:val="-4"/>
        </w:rPr>
        <w:t>“双一流”背景下地方高水平大学教学质量提升核心问题研究与实践；</w:t>
      </w:r>
    </w:p>
    <w:p>
      <w:pPr>
        <w:autoSpaceDE w:val="0"/>
        <w:ind w:firstLine="616" w:firstLineChars="200"/>
        <w:rPr>
          <w:rFonts w:ascii="仿宋_GB2312"/>
          <w:color w:val="000000"/>
          <w:spacing w:val="-4"/>
        </w:rPr>
      </w:pPr>
      <w:r>
        <w:rPr>
          <w:rFonts w:hint="eastAsia" w:ascii="仿宋_GB2312"/>
          <w:color w:val="000000"/>
          <w:spacing w:val="-4"/>
        </w:rPr>
        <w:t>1-8.</w:t>
      </w:r>
      <w:r>
        <w:rPr>
          <w:rFonts w:hint="eastAsia" w:ascii="宋体" w:hAnsi="宋体"/>
          <w:color w:val="000000"/>
          <w:spacing w:val="-4"/>
        </w:rPr>
        <w:t>一流大学本科教育建设研究与实践；</w:t>
      </w:r>
    </w:p>
    <w:p>
      <w:pPr>
        <w:autoSpaceDE w:val="0"/>
        <w:ind w:firstLine="632" w:firstLineChars="200"/>
        <w:rPr>
          <w:rFonts w:ascii="仿宋_GB2312"/>
          <w:color w:val="000000"/>
        </w:rPr>
      </w:pPr>
      <w:r>
        <w:rPr>
          <w:rFonts w:hint="eastAsia" w:ascii="仿宋_GB2312"/>
          <w:color w:val="000000"/>
        </w:rPr>
        <w:t>1-9.</w:t>
      </w:r>
      <w:r>
        <w:rPr>
          <w:rFonts w:hint="eastAsia" w:ascii="宋体" w:hAnsi="宋体"/>
          <w:color w:val="000000"/>
        </w:rPr>
        <w:t>中外合作建设高水平大学办学模式研究与实践；</w:t>
      </w:r>
    </w:p>
    <w:p>
      <w:pPr>
        <w:autoSpaceDE w:val="0"/>
        <w:ind w:firstLine="632" w:firstLineChars="200"/>
        <w:rPr>
          <w:rFonts w:ascii="仿宋_GB2312"/>
          <w:color w:val="000000"/>
        </w:rPr>
      </w:pPr>
      <w:r>
        <w:rPr>
          <w:rFonts w:hint="eastAsia" w:ascii="仿宋_GB2312"/>
          <w:color w:val="000000"/>
        </w:rPr>
        <w:t>1-10.</w:t>
      </w:r>
      <w:r>
        <w:rPr>
          <w:rFonts w:hint="eastAsia" w:ascii="宋体" w:hAnsi="宋体"/>
          <w:color w:val="000000"/>
        </w:rPr>
        <w:t>应用型本科高校办学模式问题的研究与实践；</w:t>
      </w:r>
    </w:p>
    <w:p>
      <w:pPr>
        <w:autoSpaceDE w:val="0"/>
        <w:ind w:firstLine="632" w:firstLineChars="200"/>
        <w:rPr>
          <w:rFonts w:ascii="仿宋_GB2312"/>
          <w:color w:val="000000"/>
          <w:spacing w:val="-10"/>
        </w:rPr>
      </w:pPr>
      <w:r>
        <w:rPr>
          <w:rFonts w:hint="eastAsia" w:ascii="仿宋_GB2312"/>
          <w:color w:val="000000"/>
        </w:rPr>
        <w:t>1-11.</w:t>
      </w:r>
      <w:r>
        <w:rPr>
          <w:rFonts w:hint="eastAsia" w:ascii="宋体" w:hAnsi="宋体"/>
          <w:color w:val="000000"/>
          <w:spacing w:val="-10"/>
        </w:rPr>
        <w:t>新形势下地方高校向应用技术型大学转型的研究与实践；</w:t>
      </w:r>
    </w:p>
    <w:p>
      <w:pPr>
        <w:autoSpaceDE w:val="0"/>
        <w:ind w:firstLine="632" w:firstLineChars="200"/>
        <w:rPr>
          <w:rFonts w:ascii="仿宋_GB2312"/>
          <w:color w:val="000000"/>
        </w:rPr>
      </w:pPr>
      <w:r>
        <w:rPr>
          <w:rFonts w:hint="eastAsia" w:ascii="仿宋_GB2312"/>
          <w:color w:val="000000"/>
        </w:rPr>
        <w:t>1-12.</w:t>
      </w:r>
      <w:r>
        <w:rPr>
          <w:rFonts w:hint="eastAsia" w:ascii="宋体" w:hAnsi="宋体"/>
          <w:color w:val="000000"/>
        </w:rPr>
        <w:t>高等学校高层次人才队伍建设的研究与实践；</w:t>
      </w:r>
    </w:p>
    <w:p>
      <w:pPr>
        <w:autoSpaceDE w:val="0"/>
        <w:ind w:firstLine="632" w:firstLineChars="200"/>
        <w:rPr>
          <w:rFonts w:ascii="仿宋_GB2312"/>
          <w:color w:val="000000"/>
        </w:rPr>
      </w:pPr>
      <w:r>
        <w:rPr>
          <w:rFonts w:hint="eastAsia" w:ascii="仿宋_GB2312"/>
          <w:color w:val="000000"/>
        </w:rPr>
        <w:t>1-13.</w:t>
      </w:r>
      <w:r>
        <w:rPr>
          <w:rFonts w:hint="eastAsia" w:ascii="宋体" w:hAnsi="宋体"/>
          <w:color w:val="000000"/>
        </w:rPr>
        <w:t>教师教学能力提升方式及评估机制的研究与实践；</w:t>
      </w:r>
    </w:p>
    <w:p>
      <w:pPr>
        <w:autoSpaceDE w:val="0"/>
        <w:ind w:firstLine="632" w:firstLineChars="200"/>
        <w:rPr>
          <w:rFonts w:ascii="仿宋_GB2312"/>
          <w:color w:val="000000"/>
        </w:rPr>
      </w:pPr>
      <w:r>
        <w:rPr>
          <w:rFonts w:hint="eastAsia" w:ascii="仿宋_GB2312"/>
          <w:color w:val="000000"/>
        </w:rPr>
        <w:t>1-14.</w:t>
      </w:r>
      <w:r>
        <w:rPr>
          <w:rFonts w:hint="eastAsia" w:ascii="宋体" w:hAnsi="宋体"/>
          <w:color w:val="000000"/>
        </w:rPr>
        <w:t>高等学校加强大学生综合素质的研究与实践；</w:t>
      </w:r>
    </w:p>
    <w:p>
      <w:pPr>
        <w:autoSpaceDE w:val="0"/>
        <w:ind w:firstLine="632" w:firstLineChars="200"/>
        <w:rPr>
          <w:rFonts w:ascii="仿宋_GB2312"/>
          <w:color w:val="000000"/>
        </w:rPr>
      </w:pPr>
      <w:r>
        <w:rPr>
          <w:rFonts w:hint="eastAsia" w:ascii="仿宋_GB2312"/>
          <w:color w:val="000000"/>
        </w:rPr>
        <w:t>1-15.</w:t>
      </w:r>
      <w:r>
        <w:rPr>
          <w:rFonts w:hint="eastAsia" w:ascii="宋体" w:hAnsi="宋体"/>
          <w:color w:val="000000"/>
        </w:rPr>
        <w:t>民办高校办学模式的研究与实践；</w:t>
      </w:r>
    </w:p>
    <w:p>
      <w:pPr>
        <w:autoSpaceDE w:val="0"/>
        <w:ind w:firstLine="608" w:firstLineChars="200"/>
        <w:rPr>
          <w:rFonts w:ascii="仿宋_GB2312"/>
          <w:color w:val="000000"/>
          <w:spacing w:val="-6"/>
        </w:rPr>
      </w:pPr>
      <w:r>
        <w:rPr>
          <w:rFonts w:hint="eastAsia" w:ascii="仿宋_GB2312"/>
          <w:color w:val="000000"/>
          <w:spacing w:val="-6"/>
        </w:rPr>
        <w:t>1-16.</w:t>
      </w:r>
      <w:r>
        <w:rPr>
          <w:rFonts w:hint="eastAsia" w:ascii="宋体" w:hAnsi="宋体"/>
          <w:color w:val="000000"/>
          <w:spacing w:val="-6"/>
        </w:rPr>
        <w:t>大数据在教育教学中的应用研究与实践；</w:t>
      </w:r>
    </w:p>
    <w:p>
      <w:pPr>
        <w:autoSpaceDE w:val="0"/>
        <w:ind w:firstLine="608" w:firstLineChars="200"/>
        <w:rPr>
          <w:rFonts w:ascii="仿宋_GB2312"/>
          <w:color w:val="000000"/>
          <w:spacing w:val="-6"/>
        </w:rPr>
      </w:pPr>
      <w:r>
        <w:rPr>
          <w:rFonts w:hint="eastAsia" w:ascii="仿宋_GB2312"/>
          <w:color w:val="000000"/>
          <w:spacing w:val="-6"/>
        </w:rPr>
        <w:t>1-17.</w:t>
      </w:r>
      <w:r>
        <w:rPr>
          <w:rFonts w:hint="eastAsia" w:ascii="宋体" w:hAnsi="宋体"/>
          <w:color w:val="000000"/>
          <w:spacing w:val="-6"/>
        </w:rPr>
        <w:t>混合所有制办学的研究与实践；</w:t>
      </w:r>
    </w:p>
    <w:p>
      <w:pPr>
        <w:autoSpaceDE w:val="0"/>
        <w:ind w:firstLine="608" w:firstLineChars="200"/>
        <w:rPr>
          <w:rFonts w:ascii="仿宋_GB2312"/>
          <w:color w:val="000000"/>
          <w:spacing w:val="-6"/>
        </w:rPr>
      </w:pPr>
      <w:r>
        <w:rPr>
          <w:rFonts w:hint="eastAsia" w:ascii="仿宋_GB2312"/>
          <w:color w:val="000000"/>
          <w:spacing w:val="-6"/>
        </w:rPr>
        <w:t>1-18.</w:t>
      </w:r>
      <w:r>
        <w:rPr>
          <w:rFonts w:hint="eastAsia" w:ascii="宋体" w:hAnsi="宋体"/>
          <w:color w:val="000000"/>
          <w:spacing w:val="-6"/>
        </w:rPr>
        <w:t>示范性应用技术型大学建设的研究与实践；</w:t>
      </w:r>
    </w:p>
    <w:p>
      <w:pPr>
        <w:autoSpaceDE w:val="0"/>
        <w:ind w:firstLine="616" w:firstLineChars="200"/>
        <w:rPr>
          <w:rFonts w:ascii="仿宋_GB2312"/>
          <w:color w:val="000000"/>
          <w:spacing w:val="-4"/>
        </w:rPr>
      </w:pPr>
      <w:r>
        <w:rPr>
          <w:rFonts w:hint="eastAsia" w:ascii="仿宋_GB2312"/>
          <w:color w:val="000000"/>
          <w:spacing w:val="-4"/>
        </w:rPr>
        <w:t>1-19.</w:t>
      </w:r>
      <w:r>
        <w:rPr>
          <w:rFonts w:hint="eastAsia" w:ascii="宋体" w:hAnsi="宋体"/>
          <w:color w:val="000000"/>
          <w:spacing w:val="-4"/>
        </w:rPr>
        <w:t>课程思政与专业思政同向同行育人体系的研究与构建；</w:t>
      </w:r>
    </w:p>
    <w:p>
      <w:pPr>
        <w:autoSpaceDE w:val="0"/>
        <w:ind w:firstLine="616" w:firstLineChars="200"/>
        <w:rPr>
          <w:rFonts w:ascii="仿宋_GB2312"/>
          <w:color w:val="000000"/>
          <w:spacing w:val="-4"/>
        </w:rPr>
      </w:pPr>
      <w:r>
        <w:rPr>
          <w:rFonts w:hint="eastAsia" w:ascii="仿宋_GB2312"/>
          <w:color w:val="000000"/>
          <w:spacing w:val="-4"/>
        </w:rPr>
        <w:t>1-20.</w:t>
      </w:r>
      <w:r>
        <w:rPr>
          <w:rFonts w:hint="eastAsia" w:ascii="宋体" w:hAnsi="宋体"/>
          <w:color w:val="000000"/>
          <w:spacing w:val="-4"/>
        </w:rPr>
        <w:t>高校质量文化建设的研究与实践；</w:t>
      </w:r>
    </w:p>
    <w:p>
      <w:pPr>
        <w:autoSpaceDE w:val="0"/>
        <w:ind w:firstLine="616" w:firstLineChars="200"/>
        <w:rPr>
          <w:rFonts w:ascii="仿宋_GB2312"/>
          <w:color w:val="000000"/>
          <w:spacing w:val="-4"/>
        </w:rPr>
      </w:pPr>
      <w:r>
        <w:rPr>
          <w:rFonts w:hint="eastAsia" w:ascii="仿宋_GB2312"/>
          <w:color w:val="000000"/>
          <w:spacing w:val="-4"/>
        </w:rPr>
        <w:t>1-21.</w:t>
      </w:r>
      <w:r>
        <w:rPr>
          <w:rFonts w:hint="eastAsia" w:ascii="宋体" w:hAnsi="宋体"/>
          <w:color w:val="000000"/>
          <w:spacing w:val="-4"/>
        </w:rPr>
        <w:t>现代大学制度研究与探索；</w:t>
      </w:r>
    </w:p>
    <w:p>
      <w:pPr>
        <w:autoSpaceDE w:val="0"/>
        <w:ind w:firstLine="616" w:firstLineChars="200"/>
        <w:rPr>
          <w:rFonts w:ascii="仿宋_GB2312"/>
          <w:color w:val="000000"/>
          <w:spacing w:val="-4"/>
        </w:rPr>
      </w:pPr>
      <w:r>
        <w:rPr>
          <w:rFonts w:hint="eastAsia" w:ascii="仿宋_GB2312"/>
          <w:color w:val="000000"/>
          <w:spacing w:val="-4"/>
        </w:rPr>
        <w:t>1-22.</w:t>
      </w:r>
      <w:r>
        <w:rPr>
          <w:rFonts w:hint="eastAsia" w:ascii="宋体" w:hAnsi="宋体"/>
          <w:color w:val="000000"/>
          <w:spacing w:val="-4"/>
        </w:rPr>
        <w:t>高校治理体系和治理能力现代化研究；</w:t>
      </w:r>
    </w:p>
    <w:p>
      <w:pPr>
        <w:autoSpaceDE w:val="0"/>
        <w:ind w:firstLine="616" w:firstLineChars="200"/>
        <w:rPr>
          <w:rFonts w:ascii="仿宋_GB2312"/>
          <w:color w:val="000000"/>
          <w:spacing w:val="-4"/>
        </w:rPr>
      </w:pPr>
      <w:r>
        <w:rPr>
          <w:rFonts w:hint="eastAsia" w:ascii="仿宋_GB2312"/>
          <w:color w:val="000000"/>
          <w:spacing w:val="-4"/>
        </w:rPr>
        <w:t>1-23.</w:t>
      </w:r>
      <w:r>
        <w:rPr>
          <w:rFonts w:hint="eastAsia" w:ascii="宋体" w:hAnsi="宋体"/>
          <w:color w:val="000000"/>
          <w:spacing w:val="-4"/>
        </w:rPr>
        <w:t>高等学校大学生文化素质教育与专业教育相结合的方法与途径研究与实践；</w:t>
      </w:r>
    </w:p>
    <w:p>
      <w:pPr>
        <w:autoSpaceDE w:val="0"/>
        <w:ind w:firstLine="616" w:firstLineChars="200"/>
        <w:rPr>
          <w:rFonts w:ascii="仿宋_GB2312"/>
          <w:color w:val="000000"/>
          <w:spacing w:val="-4"/>
        </w:rPr>
      </w:pPr>
      <w:r>
        <w:rPr>
          <w:rFonts w:hint="eastAsia" w:ascii="仿宋_GB2312"/>
          <w:color w:val="000000"/>
          <w:spacing w:val="-4"/>
        </w:rPr>
        <w:t>1-24.</w:t>
      </w:r>
      <w:r>
        <w:rPr>
          <w:rFonts w:hint="eastAsia" w:ascii="宋体" w:hAnsi="宋体"/>
          <w:color w:val="000000"/>
          <w:spacing w:val="-4"/>
        </w:rPr>
        <w:t>高校教师发展中心建设与中青年教师培训研究与实践；</w:t>
      </w:r>
    </w:p>
    <w:p>
      <w:pPr>
        <w:autoSpaceDE w:val="0"/>
        <w:ind w:firstLine="616" w:firstLineChars="200"/>
        <w:rPr>
          <w:rFonts w:ascii="仿宋_GB2312"/>
          <w:color w:val="000000"/>
          <w:spacing w:val="-4"/>
        </w:rPr>
      </w:pPr>
      <w:r>
        <w:rPr>
          <w:rFonts w:hint="eastAsia" w:ascii="仿宋_GB2312"/>
          <w:color w:val="000000"/>
          <w:spacing w:val="-4"/>
        </w:rPr>
        <w:t>1-25.</w:t>
      </w:r>
      <w:r>
        <w:rPr>
          <w:rFonts w:hint="eastAsia" w:ascii="宋体" w:hAnsi="宋体"/>
          <w:color w:val="000000"/>
          <w:spacing w:val="-4"/>
        </w:rPr>
        <w:t>高校跨校联合授课与学分互认模式探索与实践。</w:t>
      </w:r>
    </w:p>
    <w:p>
      <w:pPr>
        <w:autoSpaceDE w:val="0"/>
        <w:ind w:firstLine="632" w:firstLineChars="200"/>
        <w:rPr>
          <w:rFonts w:ascii="黑体" w:eastAsia="黑体"/>
          <w:color w:val="000000"/>
        </w:rPr>
      </w:pPr>
      <w:r>
        <w:rPr>
          <w:rFonts w:hint="eastAsia" w:ascii="黑体" w:hAnsi="黑体" w:eastAsia="黑体"/>
          <w:color w:val="000000"/>
        </w:rPr>
        <w:t>二、人才培养模式改革与专业建设</w:t>
      </w:r>
    </w:p>
    <w:p>
      <w:pPr>
        <w:autoSpaceDE w:val="0"/>
        <w:ind w:firstLine="632" w:firstLineChars="200"/>
        <w:rPr>
          <w:rFonts w:ascii="仿宋_GB2312"/>
          <w:color w:val="000000"/>
        </w:rPr>
      </w:pPr>
      <w:r>
        <w:rPr>
          <w:rFonts w:hint="eastAsia" w:ascii="宋体" w:hAnsi="宋体"/>
          <w:color w:val="000000"/>
        </w:rPr>
        <w:t>本类选题侧重于对人才培养模式改革和专业建设的研究与实践，方案应突出创新特色，具有可操作性和推广价值，注重学生创新创业能力的培养。</w:t>
      </w:r>
    </w:p>
    <w:p>
      <w:pPr>
        <w:autoSpaceDE w:val="0"/>
        <w:ind w:firstLine="632" w:firstLineChars="200"/>
        <w:rPr>
          <w:rFonts w:ascii="仿宋_GB2312"/>
          <w:color w:val="000000"/>
        </w:rPr>
      </w:pPr>
      <w:r>
        <w:rPr>
          <w:rFonts w:hint="eastAsia" w:ascii="仿宋_GB2312"/>
          <w:color w:val="000000"/>
        </w:rPr>
        <w:t>2-1.</w:t>
      </w:r>
      <w:r>
        <w:rPr>
          <w:rFonts w:hint="eastAsia" w:ascii="宋体" w:hAnsi="宋体"/>
          <w:color w:val="000000"/>
        </w:rPr>
        <w:t>高等学校各类人才培养模式改革的研究与实践；</w:t>
      </w:r>
    </w:p>
    <w:p>
      <w:pPr>
        <w:autoSpaceDE w:val="0"/>
        <w:ind w:firstLine="632" w:firstLineChars="200"/>
        <w:rPr>
          <w:rFonts w:ascii="仿宋_GB2312"/>
          <w:color w:val="000000"/>
        </w:rPr>
      </w:pPr>
      <w:r>
        <w:rPr>
          <w:rFonts w:hint="eastAsia" w:ascii="仿宋_GB2312"/>
          <w:color w:val="000000"/>
        </w:rPr>
        <w:t>2-2.</w:t>
      </w:r>
      <w:r>
        <w:rPr>
          <w:rFonts w:hint="eastAsia" w:ascii="宋体" w:hAnsi="宋体"/>
          <w:color w:val="000000"/>
        </w:rPr>
        <w:t>高等学校实施一流本科专业建设的研究与实践；</w:t>
      </w:r>
    </w:p>
    <w:p>
      <w:pPr>
        <w:autoSpaceDE w:val="0"/>
        <w:ind w:firstLine="632" w:firstLineChars="200"/>
        <w:rPr>
          <w:rFonts w:ascii="仿宋_GB2312"/>
          <w:color w:val="000000"/>
        </w:rPr>
      </w:pPr>
      <w:r>
        <w:rPr>
          <w:rFonts w:hint="eastAsia" w:ascii="仿宋_GB2312"/>
          <w:color w:val="000000"/>
        </w:rPr>
        <w:t>2-3.</w:t>
      </w:r>
      <w:r>
        <w:rPr>
          <w:rFonts w:hint="eastAsia" w:ascii="宋体" w:hAnsi="宋体"/>
          <w:color w:val="000000"/>
        </w:rPr>
        <w:t>高校实施“六卓越一拔尖”人才培养计划</w:t>
      </w:r>
      <w:r>
        <w:rPr>
          <w:rFonts w:hint="eastAsia" w:ascii="仿宋_GB2312"/>
          <w:color w:val="000000"/>
        </w:rPr>
        <w:t>2.0</w:t>
      </w:r>
      <w:r>
        <w:rPr>
          <w:rFonts w:hint="eastAsia" w:ascii="宋体" w:hAnsi="宋体"/>
          <w:color w:val="000000"/>
        </w:rPr>
        <w:t>的研究与实践；</w:t>
      </w:r>
    </w:p>
    <w:p>
      <w:pPr>
        <w:autoSpaceDE w:val="0"/>
        <w:ind w:firstLine="632" w:firstLineChars="200"/>
        <w:rPr>
          <w:rFonts w:ascii="仿宋_GB2312"/>
          <w:color w:val="000000"/>
        </w:rPr>
      </w:pPr>
      <w:r>
        <w:rPr>
          <w:rFonts w:hint="eastAsia" w:ascii="仿宋_GB2312"/>
          <w:color w:val="000000"/>
        </w:rPr>
        <w:t>2-4.</w:t>
      </w:r>
      <w:r>
        <w:rPr>
          <w:rFonts w:hint="eastAsia" w:ascii="宋体" w:hAnsi="宋体"/>
          <w:color w:val="000000"/>
        </w:rPr>
        <w:t>高校构建全方位全过程深度融合的协同育人新机制的研究和实践；</w:t>
      </w:r>
    </w:p>
    <w:p>
      <w:pPr>
        <w:autoSpaceDE w:val="0"/>
        <w:ind w:firstLine="632" w:firstLineChars="200"/>
        <w:rPr>
          <w:rFonts w:ascii="仿宋_GB2312"/>
          <w:color w:val="000000"/>
        </w:rPr>
      </w:pPr>
      <w:r>
        <w:rPr>
          <w:rFonts w:hint="eastAsia" w:ascii="仿宋_GB2312"/>
          <w:color w:val="000000"/>
        </w:rPr>
        <w:t>2-5.</w:t>
      </w:r>
      <w:r>
        <w:rPr>
          <w:rFonts w:hint="eastAsia" w:ascii="宋体" w:hAnsi="宋体"/>
          <w:color w:val="000000"/>
        </w:rPr>
        <w:t>创新型（创业型、复合型、应用型、中外合作办学等）人才培养模式及机制的研究与实践；</w:t>
      </w:r>
    </w:p>
    <w:p>
      <w:pPr>
        <w:autoSpaceDE w:val="0"/>
        <w:ind w:firstLine="632" w:firstLineChars="200"/>
        <w:rPr>
          <w:rFonts w:ascii="仿宋_GB2312"/>
          <w:color w:val="000000"/>
        </w:rPr>
      </w:pPr>
      <w:r>
        <w:rPr>
          <w:rFonts w:hint="eastAsia" w:ascii="仿宋_GB2312"/>
          <w:color w:val="000000"/>
        </w:rPr>
        <w:t>2-6.</w:t>
      </w:r>
      <w:r>
        <w:rPr>
          <w:rFonts w:hint="eastAsia" w:ascii="宋体" w:hAnsi="宋体"/>
          <w:color w:val="000000"/>
        </w:rPr>
        <w:t>政产学研用合作育人模式的研究与实践；</w:t>
      </w:r>
      <w:r>
        <w:rPr>
          <w:rFonts w:hint="eastAsia" w:ascii="仿宋_GB2312"/>
          <w:color w:val="000000"/>
        </w:rPr>
        <w:t xml:space="preserve"> </w:t>
      </w:r>
    </w:p>
    <w:p>
      <w:pPr>
        <w:autoSpaceDE w:val="0"/>
        <w:ind w:firstLine="632" w:firstLineChars="200"/>
        <w:rPr>
          <w:rFonts w:ascii="仿宋_GB2312"/>
          <w:color w:val="000000"/>
        </w:rPr>
      </w:pPr>
      <w:r>
        <w:rPr>
          <w:rFonts w:hint="eastAsia" w:ascii="仿宋_GB2312"/>
          <w:color w:val="000000"/>
        </w:rPr>
        <w:t>2-7.</w:t>
      </w:r>
      <w:r>
        <w:rPr>
          <w:rFonts w:hint="eastAsia" w:ascii="宋体" w:hAnsi="宋体"/>
          <w:color w:val="000000"/>
        </w:rPr>
        <w:t>“新工科</w:t>
      </w:r>
      <w:r>
        <w:rPr>
          <w:rFonts w:hint="eastAsia" w:ascii="仿宋_GB2312"/>
          <w:color w:val="000000"/>
        </w:rPr>
        <w:t>”</w:t>
      </w:r>
      <w:r>
        <w:rPr>
          <w:rFonts w:hint="eastAsia" w:ascii="宋体" w:hAnsi="宋体"/>
          <w:color w:val="000000"/>
        </w:rPr>
        <w:t>教育人才培养模式改革的研究与实践；</w:t>
      </w:r>
    </w:p>
    <w:p>
      <w:pPr>
        <w:autoSpaceDE w:val="0"/>
        <w:ind w:firstLine="632" w:firstLineChars="200"/>
        <w:rPr>
          <w:rFonts w:ascii="仿宋_GB2312"/>
          <w:color w:val="000000"/>
        </w:rPr>
      </w:pPr>
      <w:r>
        <w:rPr>
          <w:rFonts w:hint="eastAsia" w:ascii="仿宋_GB2312"/>
          <w:color w:val="000000"/>
        </w:rPr>
        <w:t>2-8.</w:t>
      </w:r>
      <w:r>
        <w:rPr>
          <w:rFonts w:hint="eastAsia" w:ascii="宋体" w:hAnsi="宋体"/>
          <w:color w:val="000000"/>
        </w:rPr>
        <w:t>“新医科”教育人才培养模式改革的研究与实践；</w:t>
      </w:r>
    </w:p>
    <w:p>
      <w:pPr>
        <w:autoSpaceDE w:val="0"/>
        <w:ind w:firstLine="632" w:firstLineChars="200"/>
        <w:rPr>
          <w:rFonts w:ascii="仿宋_GB2312"/>
          <w:color w:val="000000"/>
        </w:rPr>
      </w:pPr>
      <w:r>
        <w:rPr>
          <w:rFonts w:hint="eastAsia" w:ascii="仿宋_GB2312"/>
          <w:color w:val="000000"/>
        </w:rPr>
        <w:t>2-9.</w:t>
      </w:r>
      <w:r>
        <w:rPr>
          <w:rFonts w:hint="eastAsia" w:ascii="宋体" w:hAnsi="宋体"/>
          <w:color w:val="000000"/>
        </w:rPr>
        <w:t>“新农科”教育人才培养模式改革的研究与实践；</w:t>
      </w:r>
    </w:p>
    <w:p>
      <w:pPr>
        <w:autoSpaceDE w:val="0"/>
        <w:ind w:firstLine="632" w:firstLineChars="200"/>
        <w:rPr>
          <w:rFonts w:ascii="仿宋_GB2312"/>
          <w:color w:val="000000"/>
        </w:rPr>
      </w:pPr>
      <w:r>
        <w:rPr>
          <w:rFonts w:hint="eastAsia" w:ascii="仿宋_GB2312"/>
          <w:color w:val="000000"/>
        </w:rPr>
        <w:t>2-10.</w:t>
      </w:r>
      <w:r>
        <w:rPr>
          <w:rFonts w:hint="eastAsia" w:ascii="宋体" w:hAnsi="宋体"/>
          <w:color w:val="000000"/>
        </w:rPr>
        <w:t>“新文科”教育人才培养模式改革的研究与实践；</w:t>
      </w:r>
    </w:p>
    <w:p>
      <w:pPr>
        <w:autoSpaceDE w:val="0"/>
        <w:ind w:firstLine="632" w:firstLineChars="200"/>
        <w:rPr>
          <w:rFonts w:ascii="仿宋_GB2312"/>
          <w:color w:val="000000"/>
        </w:rPr>
      </w:pPr>
      <w:r>
        <w:rPr>
          <w:rFonts w:hint="eastAsia" w:ascii="仿宋_GB2312"/>
          <w:color w:val="000000"/>
        </w:rPr>
        <w:t>2-11.</w:t>
      </w:r>
      <w:r>
        <w:rPr>
          <w:rFonts w:hint="eastAsia" w:ascii="宋体" w:hAnsi="宋体"/>
          <w:color w:val="000000"/>
        </w:rPr>
        <w:t>高等学校人文教育与科学教育相融合的研究与实践；</w:t>
      </w:r>
    </w:p>
    <w:p>
      <w:pPr>
        <w:autoSpaceDE w:val="0"/>
        <w:ind w:firstLine="632" w:firstLineChars="200"/>
        <w:rPr>
          <w:rFonts w:ascii="仿宋_GB2312"/>
          <w:color w:val="000000"/>
          <w:spacing w:val="-10"/>
        </w:rPr>
      </w:pPr>
      <w:r>
        <w:rPr>
          <w:rFonts w:hint="eastAsia" w:ascii="仿宋_GB2312"/>
          <w:color w:val="000000"/>
        </w:rPr>
        <w:t>2-12.</w:t>
      </w:r>
      <w:r>
        <w:rPr>
          <w:rFonts w:hint="eastAsia" w:ascii="宋体" w:hAnsi="宋体"/>
          <w:color w:val="000000"/>
          <w:spacing w:val="-10"/>
        </w:rPr>
        <w:t>通识教育与专业教育融合人才培养模式的研究与实践；</w:t>
      </w:r>
    </w:p>
    <w:p>
      <w:pPr>
        <w:autoSpaceDE w:val="0"/>
        <w:ind w:firstLine="632" w:firstLineChars="200"/>
        <w:rPr>
          <w:rFonts w:ascii="仿宋_GB2312"/>
          <w:color w:val="000000"/>
        </w:rPr>
      </w:pPr>
      <w:r>
        <w:rPr>
          <w:rFonts w:hint="eastAsia" w:ascii="仿宋_GB2312"/>
          <w:color w:val="000000"/>
        </w:rPr>
        <w:t>2-13.</w:t>
      </w:r>
      <w:r>
        <w:rPr>
          <w:rFonts w:hint="eastAsia" w:ascii="宋体" w:hAnsi="宋体"/>
          <w:color w:val="000000"/>
        </w:rPr>
        <w:t>高校通识教育教学内容与课程体系建设研究；</w:t>
      </w:r>
    </w:p>
    <w:p>
      <w:pPr>
        <w:autoSpaceDE w:val="0"/>
        <w:ind w:firstLine="632" w:firstLineChars="200"/>
        <w:rPr>
          <w:rFonts w:ascii="仿宋_GB2312"/>
          <w:color w:val="000000"/>
        </w:rPr>
      </w:pPr>
      <w:r>
        <w:rPr>
          <w:rFonts w:hint="eastAsia" w:ascii="仿宋_GB2312"/>
          <w:color w:val="000000"/>
        </w:rPr>
        <w:t>2-14.</w:t>
      </w:r>
      <w:r>
        <w:rPr>
          <w:rFonts w:hint="eastAsia" w:ascii="宋体" w:hAnsi="宋体"/>
          <w:color w:val="000000"/>
        </w:rPr>
        <w:t>高等学校专业大类招生人才培养模式的研究与实践；</w:t>
      </w:r>
    </w:p>
    <w:p>
      <w:pPr>
        <w:autoSpaceDE w:val="0"/>
        <w:ind w:firstLine="632" w:firstLineChars="200"/>
        <w:rPr>
          <w:rFonts w:ascii="仿宋_GB2312"/>
          <w:color w:val="000000"/>
          <w:spacing w:val="-10"/>
        </w:rPr>
      </w:pPr>
      <w:r>
        <w:rPr>
          <w:rFonts w:hint="eastAsia" w:ascii="仿宋_GB2312"/>
          <w:color w:val="000000"/>
        </w:rPr>
        <w:t>2-15.</w:t>
      </w:r>
      <w:r>
        <w:rPr>
          <w:rFonts w:hint="eastAsia" w:ascii="宋体" w:hAnsi="宋体"/>
          <w:color w:val="000000"/>
        </w:rPr>
        <w:t>高等</w:t>
      </w:r>
      <w:r>
        <w:rPr>
          <w:rFonts w:hint="eastAsia" w:ascii="宋体" w:hAnsi="宋体"/>
          <w:color w:val="000000"/>
          <w:spacing w:val="-10"/>
        </w:rPr>
        <w:t>学校学科建设推进人才培养关键问题的研究与实践；</w:t>
      </w:r>
    </w:p>
    <w:p>
      <w:pPr>
        <w:autoSpaceDE w:val="0"/>
        <w:ind w:firstLine="632" w:firstLineChars="200"/>
        <w:rPr>
          <w:rFonts w:ascii="仿宋_GB2312"/>
          <w:color w:val="000000"/>
        </w:rPr>
      </w:pPr>
      <w:r>
        <w:rPr>
          <w:rFonts w:hint="eastAsia" w:ascii="仿宋_GB2312"/>
          <w:color w:val="000000"/>
        </w:rPr>
        <w:t>2-16.</w:t>
      </w:r>
      <w:r>
        <w:rPr>
          <w:rFonts w:hint="eastAsia" w:ascii="宋体" w:hAnsi="宋体"/>
          <w:color w:val="000000"/>
        </w:rPr>
        <w:t>高等学校优势特色学科特区建设人才培养模式的研究与实践；</w:t>
      </w:r>
    </w:p>
    <w:p>
      <w:pPr>
        <w:autoSpaceDE w:val="0"/>
        <w:ind w:firstLine="632" w:firstLineChars="200"/>
        <w:rPr>
          <w:rFonts w:ascii="仿宋_GB2312"/>
          <w:color w:val="000000"/>
        </w:rPr>
      </w:pPr>
      <w:r>
        <w:rPr>
          <w:rFonts w:hint="eastAsia" w:ascii="仿宋_GB2312"/>
          <w:color w:val="000000"/>
        </w:rPr>
        <w:t>2-17.</w:t>
      </w:r>
      <w:r>
        <w:rPr>
          <w:rFonts w:hint="eastAsia" w:ascii="宋体" w:hAnsi="宋体"/>
          <w:color w:val="000000"/>
        </w:rPr>
        <w:t>高等学校专业建设核心要素的研究与实践；</w:t>
      </w:r>
    </w:p>
    <w:p>
      <w:pPr>
        <w:autoSpaceDE w:val="0"/>
        <w:ind w:firstLine="632" w:firstLineChars="200"/>
        <w:rPr>
          <w:rFonts w:ascii="仿宋_GB2312"/>
          <w:color w:val="000000"/>
        </w:rPr>
      </w:pPr>
      <w:r>
        <w:rPr>
          <w:rFonts w:hint="eastAsia" w:ascii="仿宋_GB2312"/>
          <w:color w:val="000000"/>
        </w:rPr>
        <w:t>2-18.</w:t>
      </w:r>
      <w:r>
        <w:rPr>
          <w:rFonts w:hint="eastAsia" w:ascii="宋体" w:hAnsi="宋体"/>
          <w:color w:val="000000"/>
        </w:rPr>
        <w:t>高等学校某类专业认证、专业评估关键问题的研究与实践；</w:t>
      </w:r>
    </w:p>
    <w:p>
      <w:pPr>
        <w:autoSpaceDE w:val="0"/>
        <w:ind w:firstLine="632" w:firstLineChars="200"/>
        <w:rPr>
          <w:rFonts w:ascii="仿宋_GB2312"/>
          <w:color w:val="000000"/>
        </w:rPr>
      </w:pPr>
      <w:r>
        <w:rPr>
          <w:rFonts w:hint="eastAsia" w:ascii="仿宋_GB2312"/>
          <w:color w:val="000000"/>
        </w:rPr>
        <w:t>2-19.</w:t>
      </w:r>
      <w:r>
        <w:rPr>
          <w:rFonts w:hint="eastAsia" w:ascii="宋体" w:hAnsi="宋体"/>
          <w:color w:val="000000"/>
        </w:rPr>
        <w:t>跨学院、跨学科、跨专业的人才培养模式研究与实践；</w:t>
      </w:r>
    </w:p>
    <w:p>
      <w:pPr>
        <w:autoSpaceDE w:val="0"/>
        <w:ind w:firstLine="632" w:firstLineChars="200"/>
        <w:rPr>
          <w:rFonts w:ascii="仿宋_GB2312"/>
          <w:color w:val="000000"/>
        </w:rPr>
      </w:pPr>
      <w:r>
        <w:rPr>
          <w:rFonts w:hint="eastAsia" w:ascii="仿宋_GB2312"/>
          <w:color w:val="000000"/>
        </w:rPr>
        <w:t>2-20.</w:t>
      </w:r>
      <w:r>
        <w:rPr>
          <w:rFonts w:hint="eastAsia" w:ascii="宋体" w:hAnsi="宋体"/>
          <w:color w:val="000000"/>
        </w:rPr>
        <w:t>新时代</w:t>
      </w:r>
      <w:r>
        <w:rPr>
          <w:rFonts w:hint="eastAsia" w:ascii="仿宋_GB2312"/>
          <w:color w:val="000000"/>
        </w:rPr>
        <w:t>“外语+X”大类人才培养模式研究与实践。</w:t>
      </w:r>
    </w:p>
    <w:p>
      <w:pPr>
        <w:autoSpaceDE w:val="0"/>
        <w:ind w:firstLine="632" w:firstLineChars="200"/>
        <w:rPr>
          <w:rFonts w:ascii="黑体" w:eastAsia="黑体"/>
          <w:color w:val="000000"/>
        </w:rPr>
      </w:pPr>
      <w:r>
        <w:rPr>
          <w:rFonts w:hint="eastAsia" w:ascii="黑体" w:hAnsi="黑体" w:eastAsia="黑体"/>
          <w:color w:val="000000"/>
        </w:rPr>
        <w:t>三、课程与教材改革</w:t>
      </w:r>
    </w:p>
    <w:p>
      <w:pPr>
        <w:autoSpaceDE w:val="0"/>
        <w:ind w:firstLine="608" w:firstLineChars="200"/>
        <w:rPr>
          <w:rFonts w:ascii="仿宋_GB2312"/>
          <w:color w:val="000000"/>
          <w:spacing w:val="-6"/>
        </w:rPr>
      </w:pPr>
      <w:r>
        <w:rPr>
          <w:rFonts w:hint="eastAsia" w:ascii="宋体" w:hAnsi="宋体"/>
          <w:color w:val="000000"/>
          <w:spacing w:val="-6"/>
        </w:rPr>
        <w:t>本类选题侧重于课程体系与教学内容的改革，注重整体设计与优化，将前沿科技成果融入课堂教学，利用信息技术提升课程质量，提高大学生综合素质和创新创业能力。</w:t>
      </w:r>
    </w:p>
    <w:p>
      <w:pPr>
        <w:autoSpaceDE w:val="0"/>
        <w:ind w:firstLine="608" w:firstLineChars="200"/>
        <w:rPr>
          <w:rFonts w:ascii="仿宋_GB2312"/>
          <w:color w:val="000000"/>
          <w:spacing w:val="-6"/>
        </w:rPr>
      </w:pPr>
      <w:r>
        <w:rPr>
          <w:rFonts w:hint="eastAsia" w:ascii="仿宋_GB2312"/>
          <w:color w:val="000000"/>
          <w:spacing w:val="-6"/>
        </w:rPr>
        <w:t>3-1.</w:t>
      </w:r>
      <w:r>
        <w:rPr>
          <w:rFonts w:hint="eastAsia" w:ascii="宋体" w:hAnsi="宋体"/>
          <w:color w:val="000000"/>
          <w:spacing w:val="-6"/>
        </w:rPr>
        <w:t>高等学校课程准入、建设、评估与淘汰机制的研究与实践；</w:t>
      </w:r>
    </w:p>
    <w:p>
      <w:pPr>
        <w:autoSpaceDE w:val="0"/>
        <w:ind w:firstLine="608" w:firstLineChars="200"/>
        <w:rPr>
          <w:rFonts w:ascii="仿宋_GB2312"/>
          <w:color w:val="000000"/>
          <w:spacing w:val="-6"/>
        </w:rPr>
      </w:pPr>
      <w:r>
        <w:rPr>
          <w:rFonts w:hint="eastAsia" w:ascii="仿宋_GB2312"/>
          <w:color w:val="000000"/>
          <w:spacing w:val="-6"/>
        </w:rPr>
        <w:t>3-2.</w:t>
      </w:r>
      <w:r>
        <w:rPr>
          <w:rFonts w:hint="eastAsia" w:ascii="宋体" w:hAnsi="宋体"/>
          <w:color w:val="000000"/>
          <w:spacing w:val="-6"/>
        </w:rPr>
        <w:t>创新创业教育课程体系建设的研究与实践；</w:t>
      </w:r>
    </w:p>
    <w:p>
      <w:pPr>
        <w:autoSpaceDE w:val="0"/>
        <w:ind w:firstLine="608" w:firstLineChars="200"/>
        <w:rPr>
          <w:rFonts w:ascii="仿宋_GB2312"/>
          <w:color w:val="000000"/>
          <w:spacing w:val="-10"/>
        </w:rPr>
      </w:pPr>
      <w:r>
        <w:rPr>
          <w:rFonts w:hint="eastAsia" w:ascii="仿宋_GB2312"/>
          <w:color w:val="000000"/>
          <w:spacing w:val="-6"/>
        </w:rPr>
        <w:t>3-3.</w:t>
      </w:r>
      <w:r>
        <w:rPr>
          <w:rFonts w:hint="eastAsia" w:ascii="宋体" w:hAnsi="宋体"/>
          <w:color w:val="000000"/>
          <w:spacing w:val="-6"/>
        </w:rPr>
        <w:t>各</w:t>
      </w:r>
      <w:r>
        <w:rPr>
          <w:rFonts w:hint="eastAsia" w:ascii="宋体" w:hAnsi="宋体"/>
          <w:color w:val="000000"/>
          <w:spacing w:val="-10"/>
        </w:rPr>
        <w:t>学科（专业）课程体系与教学内容整体优化的研究与实践</w:t>
      </w:r>
      <w:r>
        <w:rPr>
          <w:rFonts w:hint="eastAsia" w:ascii="宋体" w:hAnsi="宋体"/>
          <w:color w:val="000000"/>
          <w:spacing w:val="-6"/>
        </w:rPr>
        <w:t>；</w:t>
      </w:r>
    </w:p>
    <w:p>
      <w:pPr>
        <w:autoSpaceDE w:val="0"/>
        <w:ind w:firstLine="608" w:firstLineChars="200"/>
        <w:rPr>
          <w:rFonts w:ascii="仿宋_GB2312"/>
          <w:color w:val="000000"/>
          <w:spacing w:val="-10"/>
        </w:rPr>
      </w:pPr>
      <w:r>
        <w:rPr>
          <w:rFonts w:hint="eastAsia" w:ascii="仿宋_GB2312"/>
          <w:color w:val="000000"/>
          <w:spacing w:val="-6"/>
        </w:rPr>
        <w:t>3-4.</w:t>
      </w:r>
      <w:r>
        <w:rPr>
          <w:rFonts w:hint="eastAsia" w:ascii="宋体" w:hAnsi="宋体"/>
          <w:color w:val="000000"/>
          <w:spacing w:val="-6"/>
        </w:rPr>
        <w:t>信息</w:t>
      </w:r>
      <w:r>
        <w:rPr>
          <w:rFonts w:hint="eastAsia" w:ascii="宋体" w:hAnsi="宋体"/>
          <w:color w:val="000000"/>
          <w:spacing w:val="-10"/>
        </w:rPr>
        <w:t>化条件下各学科</w:t>
      </w:r>
      <w:r>
        <w:rPr>
          <w:rFonts w:hint="eastAsia" w:ascii="仿宋_GB2312"/>
          <w:color w:val="000000"/>
          <w:spacing w:val="-10"/>
        </w:rPr>
        <w:t>(</w:t>
      </w:r>
      <w:r>
        <w:rPr>
          <w:rFonts w:hint="eastAsia" w:ascii="宋体" w:hAnsi="宋体"/>
          <w:color w:val="000000"/>
          <w:spacing w:val="-10"/>
        </w:rPr>
        <w:t>专业</w:t>
      </w:r>
      <w:r>
        <w:rPr>
          <w:rFonts w:hint="eastAsia" w:ascii="仿宋_GB2312"/>
          <w:color w:val="000000"/>
          <w:spacing w:val="-10"/>
        </w:rPr>
        <w:t>)</w:t>
      </w:r>
      <w:r>
        <w:rPr>
          <w:rFonts w:hint="eastAsia" w:ascii="宋体" w:hAnsi="宋体"/>
          <w:color w:val="000000"/>
          <w:spacing w:val="-10"/>
        </w:rPr>
        <w:t>立体化教材建设的研究与实践</w:t>
      </w:r>
      <w:r>
        <w:rPr>
          <w:rFonts w:hint="eastAsia" w:ascii="宋体" w:hAnsi="宋体"/>
          <w:color w:val="000000"/>
          <w:spacing w:val="-6"/>
        </w:rPr>
        <w:t>；</w:t>
      </w:r>
    </w:p>
    <w:p>
      <w:pPr>
        <w:autoSpaceDE w:val="0"/>
        <w:ind w:firstLine="608" w:firstLineChars="200"/>
        <w:rPr>
          <w:rFonts w:ascii="仿宋_GB2312"/>
          <w:color w:val="000000"/>
          <w:spacing w:val="-6"/>
        </w:rPr>
      </w:pPr>
      <w:r>
        <w:rPr>
          <w:rFonts w:hint="eastAsia" w:ascii="仿宋_GB2312"/>
          <w:color w:val="000000"/>
          <w:spacing w:val="-6"/>
        </w:rPr>
        <w:t>3-5.</w:t>
      </w:r>
      <w:r>
        <w:rPr>
          <w:rFonts w:hint="eastAsia" w:ascii="宋体" w:hAnsi="宋体"/>
          <w:color w:val="000000"/>
          <w:spacing w:val="-6"/>
        </w:rPr>
        <w:t>基于专业认证的课程体系与教学内容的研究与实践；</w:t>
      </w:r>
    </w:p>
    <w:p>
      <w:pPr>
        <w:autoSpaceDE w:val="0"/>
        <w:ind w:firstLine="608" w:firstLineChars="200"/>
        <w:rPr>
          <w:rFonts w:ascii="仿宋_GB2312"/>
          <w:color w:val="000000"/>
          <w:spacing w:val="-6"/>
        </w:rPr>
      </w:pPr>
      <w:r>
        <w:rPr>
          <w:rFonts w:hint="eastAsia" w:ascii="仿宋_GB2312"/>
          <w:color w:val="000000"/>
          <w:spacing w:val="-6"/>
        </w:rPr>
        <w:t>3-6.</w:t>
      </w:r>
      <w:r>
        <w:rPr>
          <w:rFonts w:hint="eastAsia" w:ascii="宋体" w:hAnsi="宋体"/>
          <w:color w:val="000000"/>
          <w:spacing w:val="-6"/>
        </w:rPr>
        <w:t>基于项目导向与任务驱动的课程改革研究与实践；</w:t>
      </w:r>
    </w:p>
    <w:p>
      <w:pPr>
        <w:autoSpaceDE w:val="0"/>
        <w:ind w:firstLine="608" w:firstLineChars="200"/>
        <w:rPr>
          <w:rFonts w:ascii="仿宋_GB2312"/>
          <w:color w:val="000000"/>
          <w:spacing w:val="-6"/>
        </w:rPr>
      </w:pPr>
      <w:r>
        <w:rPr>
          <w:rFonts w:hint="eastAsia" w:ascii="仿宋_GB2312"/>
          <w:color w:val="000000"/>
          <w:spacing w:val="-6"/>
        </w:rPr>
        <w:t>3-7.</w:t>
      </w:r>
      <w:r>
        <w:rPr>
          <w:rFonts w:hint="eastAsia" w:ascii="宋体" w:hAnsi="宋体"/>
          <w:color w:val="000000"/>
          <w:spacing w:val="-6"/>
        </w:rPr>
        <w:t>专业核心课程群的建设与改革；</w:t>
      </w:r>
    </w:p>
    <w:p>
      <w:pPr>
        <w:autoSpaceDE w:val="0"/>
        <w:ind w:firstLine="608" w:firstLineChars="200"/>
        <w:rPr>
          <w:rFonts w:ascii="仿宋_GB2312"/>
          <w:color w:val="000000"/>
          <w:spacing w:val="-6"/>
        </w:rPr>
      </w:pPr>
      <w:r>
        <w:rPr>
          <w:rFonts w:hint="eastAsia" w:ascii="仿宋_GB2312"/>
          <w:color w:val="000000"/>
          <w:spacing w:val="-6"/>
        </w:rPr>
        <w:t>3-8.</w:t>
      </w:r>
      <w:r>
        <w:rPr>
          <w:rFonts w:hint="eastAsia" w:ascii="宋体" w:hAnsi="宋体"/>
          <w:color w:val="000000"/>
          <w:spacing w:val="-6"/>
        </w:rPr>
        <w:t>线上线下混合式“金课”的研究与实践；</w:t>
      </w:r>
    </w:p>
    <w:p>
      <w:pPr>
        <w:autoSpaceDE w:val="0"/>
        <w:ind w:firstLine="608" w:firstLineChars="200"/>
        <w:rPr>
          <w:rFonts w:ascii="仿宋_GB2312"/>
          <w:color w:val="000000"/>
          <w:spacing w:val="-6"/>
        </w:rPr>
      </w:pPr>
      <w:r>
        <w:rPr>
          <w:rFonts w:hint="eastAsia" w:ascii="仿宋_GB2312"/>
          <w:color w:val="000000"/>
          <w:spacing w:val="-6"/>
        </w:rPr>
        <w:t>3-9.</w:t>
      </w:r>
      <w:r>
        <w:rPr>
          <w:rFonts w:hint="eastAsia" w:ascii="宋体" w:hAnsi="宋体"/>
          <w:color w:val="000000"/>
          <w:spacing w:val="-6"/>
        </w:rPr>
        <w:t>基于某门在线开放课程建设的研究与实践；</w:t>
      </w:r>
    </w:p>
    <w:p>
      <w:pPr>
        <w:autoSpaceDE w:val="0"/>
        <w:ind w:firstLine="608" w:firstLineChars="200"/>
        <w:rPr>
          <w:rFonts w:ascii="仿宋_GB2312"/>
          <w:color w:val="000000"/>
          <w:spacing w:val="-6"/>
        </w:rPr>
      </w:pPr>
      <w:r>
        <w:rPr>
          <w:rFonts w:hint="eastAsia" w:ascii="仿宋_GB2312"/>
          <w:color w:val="000000"/>
          <w:spacing w:val="-6"/>
        </w:rPr>
        <w:t>3-10.</w:t>
      </w:r>
      <w:r>
        <w:rPr>
          <w:rFonts w:hint="eastAsia" w:ascii="宋体" w:hAnsi="宋体"/>
          <w:color w:val="000000"/>
          <w:spacing w:val="-6"/>
        </w:rPr>
        <w:t>高等学校课程考核评价方式的研究与实践；</w:t>
      </w:r>
    </w:p>
    <w:p>
      <w:pPr>
        <w:autoSpaceDE w:val="0"/>
        <w:ind w:firstLine="608" w:firstLineChars="200"/>
        <w:rPr>
          <w:rFonts w:ascii="仿宋_GB2312"/>
          <w:color w:val="000000"/>
          <w:spacing w:val="-6"/>
        </w:rPr>
      </w:pPr>
      <w:r>
        <w:rPr>
          <w:rFonts w:hint="eastAsia" w:ascii="仿宋_GB2312"/>
          <w:color w:val="000000"/>
          <w:spacing w:val="-6"/>
        </w:rPr>
        <w:t>3-11.</w:t>
      </w:r>
      <w:r>
        <w:rPr>
          <w:rFonts w:hint="eastAsia" w:ascii="宋体" w:hAnsi="宋体"/>
          <w:color w:val="000000"/>
          <w:spacing w:val="-6"/>
        </w:rPr>
        <w:t>某门课程教材建设的研究与实践；</w:t>
      </w:r>
    </w:p>
    <w:p>
      <w:pPr>
        <w:autoSpaceDE w:val="0"/>
        <w:ind w:firstLine="608" w:firstLineChars="200"/>
        <w:rPr>
          <w:rFonts w:ascii="仿宋_GB2312"/>
          <w:color w:val="000000"/>
          <w:spacing w:val="-6"/>
        </w:rPr>
      </w:pPr>
      <w:r>
        <w:rPr>
          <w:rFonts w:hint="eastAsia" w:ascii="仿宋_GB2312"/>
          <w:color w:val="000000"/>
          <w:spacing w:val="-6"/>
        </w:rPr>
        <w:t>3-12.</w:t>
      </w:r>
      <w:r>
        <w:rPr>
          <w:rFonts w:hint="eastAsia" w:ascii="宋体" w:hAnsi="宋体"/>
          <w:color w:val="000000"/>
          <w:spacing w:val="-6"/>
        </w:rPr>
        <w:t>开展课程思政建设的研究与实践；</w:t>
      </w:r>
    </w:p>
    <w:p>
      <w:pPr>
        <w:autoSpaceDE w:val="0"/>
        <w:ind w:firstLine="608" w:firstLineChars="200"/>
        <w:rPr>
          <w:rFonts w:ascii="仿宋_GB2312"/>
          <w:color w:val="000000"/>
          <w:spacing w:val="-6"/>
        </w:rPr>
      </w:pPr>
      <w:r>
        <w:rPr>
          <w:rFonts w:hint="eastAsia" w:ascii="仿宋_GB2312"/>
          <w:color w:val="000000"/>
          <w:spacing w:val="-6"/>
        </w:rPr>
        <w:t>3-13.</w:t>
      </w:r>
      <w:r>
        <w:rPr>
          <w:rFonts w:hint="eastAsia" w:ascii="宋体" w:hAnsi="宋体"/>
          <w:color w:val="000000"/>
          <w:spacing w:val="-6"/>
        </w:rPr>
        <w:t>与行业职业标准相衔接的课程与教学内容体系的研究与实践；</w:t>
      </w:r>
    </w:p>
    <w:p>
      <w:pPr>
        <w:autoSpaceDE w:val="0"/>
        <w:ind w:firstLine="608" w:firstLineChars="200"/>
        <w:rPr>
          <w:rFonts w:ascii="仿宋_GB2312"/>
          <w:color w:val="000000"/>
          <w:spacing w:val="-6"/>
        </w:rPr>
      </w:pPr>
      <w:r>
        <w:rPr>
          <w:rFonts w:hint="eastAsia" w:ascii="仿宋_GB2312"/>
          <w:color w:val="000000"/>
          <w:spacing w:val="-6"/>
        </w:rPr>
        <w:t>3-14.</w:t>
      </w:r>
      <w:r>
        <w:rPr>
          <w:rFonts w:hint="eastAsia" w:ascii="宋体" w:hAnsi="宋体"/>
          <w:color w:val="000000"/>
          <w:spacing w:val="-6"/>
        </w:rPr>
        <w:t>基于</w:t>
      </w:r>
      <w:r>
        <w:rPr>
          <w:rFonts w:hint="eastAsia" w:ascii="仿宋_GB2312"/>
          <w:color w:val="000000"/>
          <w:spacing w:val="-6"/>
        </w:rPr>
        <w:t>CDIO</w:t>
      </w:r>
      <w:r>
        <w:rPr>
          <w:rFonts w:hint="eastAsia" w:ascii="宋体" w:hAnsi="宋体"/>
          <w:color w:val="000000"/>
          <w:spacing w:val="-6"/>
        </w:rPr>
        <w:t>（构思、设计、实现、运作）工程教育课程体系与教学内容的研究与实践；</w:t>
      </w:r>
    </w:p>
    <w:p>
      <w:pPr>
        <w:autoSpaceDE w:val="0"/>
        <w:ind w:firstLine="608" w:firstLineChars="200"/>
        <w:rPr>
          <w:rFonts w:ascii="仿宋_GB2312"/>
          <w:color w:val="000000"/>
          <w:spacing w:val="-6"/>
        </w:rPr>
      </w:pPr>
      <w:r>
        <w:rPr>
          <w:rFonts w:hint="eastAsia" w:ascii="仿宋_GB2312"/>
          <w:color w:val="000000"/>
          <w:spacing w:val="-6"/>
        </w:rPr>
        <w:t>3-15.</w:t>
      </w:r>
      <w:r>
        <w:rPr>
          <w:rFonts w:hint="eastAsia" w:ascii="宋体" w:hAnsi="宋体"/>
          <w:color w:val="000000"/>
          <w:spacing w:val="-6"/>
        </w:rPr>
        <w:t>基于产学研创融合的课程改革研究与实践；</w:t>
      </w:r>
    </w:p>
    <w:p>
      <w:pPr>
        <w:autoSpaceDE w:val="0"/>
        <w:ind w:firstLine="608" w:firstLineChars="200"/>
        <w:rPr>
          <w:rFonts w:ascii="仿宋_GB2312"/>
          <w:color w:val="000000"/>
          <w:spacing w:val="-6"/>
        </w:rPr>
      </w:pPr>
      <w:r>
        <w:rPr>
          <w:rFonts w:hint="eastAsia" w:ascii="仿宋_GB2312"/>
          <w:color w:val="000000"/>
          <w:spacing w:val="-6"/>
        </w:rPr>
        <w:t>3-16.</w:t>
      </w:r>
      <w:r>
        <w:rPr>
          <w:rFonts w:hint="eastAsia" w:ascii="宋体" w:hAnsi="宋体"/>
          <w:color w:val="000000"/>
          <w:spacing w:val="-6"/>
        </w:rPr>
        <w:t>产教融合下</w:t>
      </w:r>
      <w:r>
        <w:rPr>
          <w:rFonts w:hint="eastAsia" w:ascii="仿宋_GB2312"/>
          <w:color w:val="000000"/>
          <w:spacing w:val="-6"/>
        </w:rPr>
        <w:t>“课赛创”相结合的应用型课程研究；</w:t>
      </w:r>
    </w:p>
    <w:p>
      <w:pPr>
        <w:autoSpaceDE w:val="0"/>
        <w:ind w:firstLine="608" w:firstLineChars="200"/>
        <w:rPr>
          <w:rFonts w:ascii="仿宋_GB2312"/>
          <w:color w:val="000000"/>
          <w:spacing w:val="-6"/>
        </w:rPr>
      </w:pPr>
      <w:r>
        <w:rPr>
          <w:rFonts w:hint="eastAsia" w:ascii="仿宋_GB2312"/>
          <w:color w:val="000000"/>
          <w:spacing w:val="-6"/>
        </w:rPr>
        <w:t>3-17.</w:t>
      </w:r>
      <w:r>
        <w:rPr>
          <w:rFonts w:hint="eastAsia" w:ascii="宋体" w:hAnsi="宋体"/>
          <w:color w:val="000000"/>
          <w:spacing w:val="-6"/>
        </w:rPr>
        <w:t>大学生毕业设计（论文）教学环节的研究与实践；</w:t>
      </w:r>
    </w:p>
    <w:p>
      <w:pPr>
        <w:autoSpaceDE w:val="0"/>
        <w:ind w:firstLine="608" w:firstLineChars="200"/>
        <w:rPr>
          <w:rFonts w:ascii="仿宋_GB2312"/>
          <w:color w:val="000000"/>
          <w:spacing w:val="-6"/>
        </w:rPr>
      </w:pPr>
      <w:r>
        <w:rPr>
          <w:rFonts w:hint="eastAsia" w:ascii="仿宋_GB2312"/>
          <w:color w:val="000000"/>
          <w:spacing w:val="-6"/>
        </w:rPr>
        <w:t>3-18.</w:t>
      </w:r>
      <w:r>
        <w:rPr>
          <w:rFonts w:hint="eastAsia" w:ascii="宋体" w:hAnsi="宋体"/>
          <w:color w:val="000000"/>
          <w:spacing w:val="-6"/>
        </w:rPr>
        <w:t>基于</w:t>
      </w:r>
      <w:r>
        <w:rPr>
          <w:rFonts w:hint="eastAsia" w:ascii="仿宋_GB2312"/>
          <w:color w:val="000000"/>
          <w:spacing w:val="-6"/>
        </w:rPr>
        <w:t>“两性一度”标准的课程建设研究与实践；</w:t>
      </w:r>
    </w:p>
    <w:p>
      <w:pPr>
        <w:autoSpaceDE w:val="0"/>
        <w:ind w:firstLine="608" w:firstLineChars="200"/>
        <w:rPr>
          <w:rFonts w:ascii="仿宋_GB2312"/>
          <w:color w:val="000000"/>
          <w:spacing w:val="-6"/>
        </w:rPr>
      </w:pPr>
      <w:r>
        <w:rPr>
          <w:rFonts w:hint="eastAsia" w:ascii="仿宋_GB2312"/>
          <w:color w:val="000000"/>
          <w:spacing w:val="-6"/>
        </w:rPr>
        <w:t>3-19.</w:t>
      </w:r>
      <w:r>
        <w:rPr>
          <w:rFonts w:hint="eastAsia" w:ascii="宋体" w:hAnsi="宋体"/>
          <w:color w:val="000000"/>
          <w:spacing w:val="-6"/>
        </w:rPr>
        <w:t>高校新形态教材与资源建设的研究与实践；</w:t>
      </w:r>
    </w:p>
    <w:p>
      <w:pPr>
        <w:autoSpaceDE w:val="0"/>
        <w:ind w:firstLine="608" w:firstLineChars="200"/>
        <w:rPr>
          <w:rFonts w:ascii="仿宋_GB2312"/>
          <w:color w:val="000000"/>
          <w:spacing w:val="-6"/>
        </w:rPr>
      </w:pPr>
      <w:r>
        <w:rPr>
          <w:rFonts w:hint="eastAsia" w:ascii="仿宋_GB2312"/>
          <w:color w:val="000000"/>
          <w:spacing w:val="-6"/>
        </w:rPr>
        <w:t>3-20.</w:t>
      </w:r>
      <w:r>
        <w:rPr>
          <w:rFonts w:hint="eastAsia" w:ascii="宋体" w:hAnsi="宋体"/>
          <w:color w:val="000000"/>
          <w:spacing w:val="-6"/>
        </w:rPr>
        <w:t>数字化优质教学资源共建共享与协同创新机制的研究与实践。</w:t>
      </w:r>
    </w:p>
    <w:p>
      <w:pPr>
        <w:autoSpaceDE w:val="0"/>
        <w:ind w:firstLine="632" w:firstLineChars="200"/>
        <w:rPr>
          <w:rFonts w:ascii="黑体" w:eastAsia="黑体"/>
          <w:color w:val="000000"/>
        </w:rPr>
      </w:pPr>
      <w:r>
        <w:rPr>
          <w:rFonts w:hint="eastAsia" w:ascii="黑体" w:hAnsi="黑体" w:eastAsia="黑体"/>
          <w:color w:val="000000"/>
        </w:rPr>
        <w:t>四、实践教学改革</w:t>
      </w:r>
    </w:p>
    <w:p>
      <w:pPr>
        <w:autoSpaceDE w:val="0"/>
        <w:ind w:firstLine="632" w:firstLineChars="200"/>
        <w:rPr>
          <w:rFonts w:ascii="仿宋_GB2312"/>
          <w:color w:val="000000"/>
        </w:rPr>
      </w:pPr>
      <w:r>
        <w:rPr>
          <w:rFonts w:hint="eastAsia" w:ascii="宋体" w:hAnsi="宋体"/>
          <w:color w:val="000000"/>
        </w:rPr>
        <w:t>本类选题侧重于改革和完善现有实践教学体系，强化实践教学环节，保障实践教学质量，提高学生的实践动手能力。</w:t>
      </w:r>
    </w:p>
    <w:p>
      <w:pPr>
        <w:autoSpaceDE w:val="0"/>
        <w:ind w:firstLine="632" w:firstLineChars="200"/>
        <w:rPr>
          <w:rFonts w:ascii="仿宋_GB2312"/>
          <w:color w:val="000000"/>
        </w:rPr>
      </w:pPr>
      <w:r>
        <w:rPr>
          <w:rFonts w:hint="eastAsia" w:ascii="仿宋_GB2312"/>
          <w:color w:val="000000"/>
        </w:rPr>
        <w:t>4-1.</w:t>
      </w:r>
      <w:r>
        <w:rPr>
          <w:rFonts w:hint="eastAsia" w:ascii="宋体" w:hAnsi="宋体"/>
          <w:color w:val="000000"/>
        </w:rPr>
        <w:t>高等学校健全实践（实验）教学质量保障机制的研究与实践；</w:t>
      </w:r>
    </w:p>
    <w:p>
      <w:pPr>
        <w:autoSpaceDE w:val="0"/>
        <w:ind w:firstLine="632" w:firstLineChars="200"/>
        <w:rPr>
          <w:rFonts w:ascii="仿宋_GB2312"/>
          <w:color w:val="000000"/>
        </w:rPr>
      </w:pPr>
      <w:r>
        <w:rPr>
          <w:rFonts w:hint="eastAsia" w:ascii="仿宋_GB2312"/>
          <w:color w:val="000000"/>
        </w:rPr>
        <w:t>4-2.</w:t>
      </w:r>
      <w:r>
        <w:rPr>
          <w:rFonts w:hint="eastAsia" w:ascii="宋体" w:hAnsi="宋体"/>
          <w:color w:val="000000"/>
        </w:rPr>
        <w:t>高等学校各学科（专业）实践（实验）教学内容改革的研究与实践</w:t>
      </w:r>
      <w:r>
        <w:rPr>
          <w:rFonts w:hint="eastAsia" w:ascii="宋体" w:hAnsi="宋体"/>
          <w:color w:val="000000"/>
          <w:spacing w:val="-6"/>
        </w:rPr>
        <w:t>；</w:t>
      </w:r>
    </w:p>
    <w:p>
      <w:pPr>
        <w:autoSpaceDE w:val="0"/>
        <w:ind w:firstLine="632" w:firstLineChars="200"/>
        <w:rPr>
          <w:rFonts w:ascii="仿宋_GB2312"/>
          <w:color w:val="000000"/>
        </w:rPr>
      </w:pPr>
      <w:r>
        <w:rPr>
          <w:rFonts w:hint="eastAsia" w:ascii="仿宋_GB2312"/>
          <w:color w:val="000000"/>
        </w:rPr>
        <w:t>4-3.</w:t>
      </w:r>
      <w:r>
        <w:rPr>
          <w:rFonts w:hint="eastAsia" w:ascii="宋体" w:hAnsi="宋体"/>
          <w:color w:val="000000"/>
        </w:rPr>
        <w:t>优化高等学校公共（基础）实验教学平台（中心）运行机制与管理模式的研究与实践；</w:t>
      </w:r>
    </w:p>
    <w:p>
      <w:pPr>
        <w:autoSpaceDE w:val="0"/>
        <w:ind w:firstLine="632" w:firstLineChars="200"/>
        <w:rPr>
          <w:rFonts w:ascii="仿宋_GB2312"/>
          <w:color w:val="000000"/>
        </w:rPr>
      </w:pPr>
      <w:r>
        <w:rPr>
          <w:rFonts w:hint="eastAsia" w:ascii="仿宋_GB2312"/>
          <w:color w:val="000000"/>
        </w:rPr>
        <w:t>4-4.</w:t>
      </w:r>
      <w:r>
        <w:rPr>
          <w:rFonts w:hint="eastAsia" w:ascii="宋体" w:hAnsi="宋体"/>
          <w:color w:val="000000"/>
        </w:rPr>
        <w:t>高等学校虚拟仿真实验教学中心和平台建设与运行机制的研究与实践；</w:t>
      </w:r>
    </w:p>
    <w:p>
      <w:pPr>
        <w:autoSpaceDE w:val="0"/>
        <w:ind w:firstLine="632" w:firstLineChars="200"/>
        <w:rPr>
          <w:rFonts w:ascii="仿宋_GB2312"/>
          <w:color w:val="000000"/>
        </w:rPr>
      </w:pPr>
      <w:r>
        <w:rPr>
          <w:rFonts w:hint="eastAsia" w:ascii="仿宋_GB2312"/>
          <w:color w:val="000000"/>
        </w:rPr>
        <w:t>4-5.</w:t>
      </w:r>
      <w:r>
        <w:rPr>
          <w:rFonts w:hint="eastAsia" w:ascii="宋体" w:hAnsi="宋体"/>
          <w:color w:val="000000"/>
        </w:rPr>
        <w:t>高校</w:t>
      </w:r>
      <w:r>
        <w:rPr>
          <w:rFonts w:hint="eastAsia" w:ascii="宋体" w:hAnsi="宋体"/>
          <w:color w:val="000000"/>
          <w:kern w:val="0"/>
        </w:rPr>
        <w:t>实验室（实验教学示范中心）、实训基地建设运行机制与管理模式的研究与实践</w:t>
      </w:r>
      <w:r>
        <w:rPr>
          <w:rFonts w:hint="eastAsia" w:ascii="宋体" w:hAnsi="宋体"/>
          <w:color w:val="000000"/>
        </w:rPr>
        <w:t>；</w:t>
      </w:r>
    </w:p>
    <w:p>
      <w:pPr>
        <w:autoSpaceDE w:val="0"/>
        <w:ind w:firstLine="632" w:firstLineChars="200"/>
        <w:rPr>
          <w:rFonts w:ascii="仿宋_GB2312"/>
          <w:color w:val="000000"/>
        </w:rPr>
      </w:pPr>
      <w:r>
        <w:rPr>
          <w:rFonts w:hint="eastAsia" w:ascii="仿宋_GB2312"/>
          <w:color w:val="000000"/>
        </w:rPr>
        <w:t>4-6.</w:t>
      </w:r>
      <w:r>
        <w:rPr>
          <w:rFonts w:hint="eastAsia" w:ascii="宋体" w:hAnsi="宋体"/>
          <w:color w:val="000000"/>
        </w:rPr>
        <w:t>高等学校毕业设计（论文）质量保障的研究与实践</w:t>
      </w:r>
      <w:r>
        <w:rPr>
          <w:rFonts w:hint="eastAsia" w:ascii="宋体" w:hAnsi="宋体"/>
          <w:color w:val="000000"/>
          <w:spacing w:val="-6"/>
        </w:rPr>
        <w:t>；</w:t>
      </w:r>
    </w:p>
    <w:p>
      <w:pPr>
        <w:autoSpaceDE w:val="0"/>
        <w:ind w:firstLine="632" w:firstLineChars="200"/>
        <w:rPr>
          <w:rFonts w:ascii="仿宋_GB2312"/>
          <w:color w:val="000000"/>
        </w:rPr>
      </w:pPr>
      <w:r>
        <w:rPr>
          <w:rFonts w:hint="eastAsia" w:ascii="仿宋_GB2312"/>
          <w:color w:val="000000"/>
        </w:rPr>
        <w:t>4-7.</w:t>
      </w:r>
      <w:r>
        <w:rPr>
          <w:rFonts w:hint="eastAsia" w:ascii="宋体" w:hAnsi="宋体"/>
          <w:color w:val="000000"/>
        </w:rPr>
        <w:t>大学生创新创业教育方法与实践体系的研究与实践；</w:t>
      </w:r>
    </w:p>
    <w:p>
      <w:pPr>
        <w:autoSpaceDE w:val="0"/>
        <w:ind w:firstLine="632" w:firstLineChars="200"/>
        <w:rPr>
          <w:rFonts w:ascii="仿宋_GB2312"/>
          <w:color w:val="000000"/>
        </w:rPr>
      </w:pPr>
      <w:r>
        <w:rPr>
          <w:rFonts w:hint="eastAsia" w:ascii="仿宋_GB2312"/>
          <w:color w:val="000000"/>
        </w:rPr>
        <w:t>4-8.</w:t>
      </w:r>
      <w:r>
        <w:rPr>
          <w:rFonts w:hint="eastAsia" w:ascii="宋体" w:hAnsi="宋体"/>
          <w:color w:val="000000"/>
        </w:rPr>
        <w:t>高等学校实践（实验）教学质量评价体系的研究与实践；</w:t>
      </w:r>
    </w:p>
    <w:p>
      <w:pPr>
        <w:autoSpaceDE w:val="0"/>
        <w:ind w:firstLine="632" w:firstLineChars="200"/>
        <w:rPr>
          <w:rFonts w:ascii="仿宋_GB2312"/>
          <w:color w:val="000000"/>
        </w:rPr>
      </w:pPr>
      <w:r>
        <w:rPr>
          <w:rFonts w:hint="eastAsia" w:ascii="仿宋_GB2312"/>
          <w:color w:val="000000"/>
        </w:rPr>
        <w:t>4-9.</w:t>
      </w:r>
      <w:r>
        <w:rPr>
          <w:rFonts w:hint="eastAsia" w:ascii="宋体" w:hAnsi="宋体"/>
          <w:color w:val="000000"/>
        </w:rPr>
        <w:t>创新创业人才培养质量标准的研究与实践；</w:t>
      </w:r>
    </w:p>
    <w:p>
      <w:pPr>
        <w:autoSpaceDE w:val="0"/>
        <w:ind w:firstLine="632" w:firstLineChars="200"/>
        <w:rPr>
          <w:rFonts w:ascii="仿宋_GB2312"/>
          <w:color w:val="000000"/>
          <w:spacing w:val="-10"/>
        </w:rPr>
      </w:pPr>
      <w:r>
        <w:rPr>
          <w:rFonts w:hint="eastAsia" w:ascii="仿宋_GB2312"/>
          <w:color w:val="000000"/>
        </w:rPr>
        <w:t>4-10.</w:t>
      </w:r>
      <w:r>
        <w:rPr>
          <w:rFonts w:hint="eastAsia" w:ascii="宋体" w:hAnsi="宋体"/>
          <w:color w:val="000000"/>
        </w:rPr>
        <w:t>高</w:t>
      </w:r>
      <w:r>
        <w:rPr>
          <w:rFonts w:hint="eastAsia" w:ascii="宋体" w:hAnsi="宋体"/>
          <w:color w:val="000000"/>
          <w:spacing w:val="-10"/>
        </w:rPr>
        <w:t>等院校师范生教师专业实践能力培养的研究与实践；</w:t>
      </w:r>
    </w:p>
    <w:p>
      <w:pPr>
        <w:autoSpaceDE w:val="0"/>
        <w:ind w:firstLine="632" w:firstLineChars="200"/>
        <w:rPr>
          <w:rFonts w:ascii="仿宋_GB2312"/>
          <w:color w:val="000000"/>
        </w:rPr>
      </w:pPr>
      <w:r>
        <w:rPr>
          <w:rFonts w:hint="eastAsia" w:ascii="仿宋_GB2312"/>
          <w:color w:val="000000"/>
        </w:rPr>
        <w:t>4-11.</w:t>
      </w:r>
      <w:r>
        <w:rPr>
          <w:rFonts w:hint="eastAsia" w:ascii="宋体" w:hAnsi="宋体"/>
          <w:color w:val="000000"/>
        </w:rPr>
        <w:t>社会实践</w:t>
      </w:r>
      <w:r>
        <w:rPr>
          <w:rFonts w:hint="eastAsia" w:ascii="仿宋_GB2312"/>
          <w:color w:val="000000"/>
        </w:rPr>
        <w:t>“金课”的研究与实践；</w:t>
      </w:r>
    </w:p>
    <w:p>
      <w:pPr>
        <w:autoSpaceDE w:val="0"/>
        <w:ind w:firstLine="632" w:firstLineChars="200"/>
        <w:rPr>
          <w:rFonts w:ascii="仿宋_GB2312"/>
          <w:color w:val="000000"/>
        </w:rPr>
      </w:pPr>
      <w:r>
        <w:rPr>
          <w:rFonts w:hint="eastAsia" w:ascii="仿宋_GB2312"/>
          <w:color w:val="000000"/>
        </w:rPr>
        <w:t>4-12.</w:t>
      </w:r>
      <w:r>
        <w:rPr>
          <w:rFonts w:hint="eastAsia" w:ascii="宋体" w:hAnsi="宋体"/>
          <w:color w:val="000000"/>
        </w:rPr>
        <w:t>校企协同的企业实习生制度的探索与实践。</w:t>
      </w:r>
    </w:p>
    <w:p>
      <w:pPr>
        <w:autoSpaceDE w:val="0"/>
        <w:ind w:firstLine="632" w:firstLineChars="200"/>
        <w:rPr>
          <w:rFonts w:ascii="黑体" w:eastAsia="黑体"/>
          <w:color w:val="000000"/>
        </w:rPr>
      </w:pPr>
      <w:r>
        <w:rPr>
          <w:rFonts w:hint="eastAsia" w:ascii="黑体" w:hAnsi="黑体" w:eastAsia="黑体"/>
          <w:color w:val="000000"/>
        </w:rPr>
        <w:t>五、教学手段与教学方法改革</w:t>
      </w:r>
    </w:p>
    <w:p>
      <w:pPr>
        <w:autoSpaceDE w:val="0"/>
        <w:ind w:firstLine="632" w:firstLineChars="200"/>
        <w:rPr>
          <w:rFonts w:ascii="仿宋_GB2312"/>
          <w:color w:val="000000"/>
        </w:rPr>
      </w:pPr>
      <w:r>
        <w:rPr>
          <w:rFonts w:hint="eastAsia" w:ascii="宋体" w:hAnsi="宋体"/>
          <w:color w:val="000000"/>
        </w:rPr>
        <w:t>本类选题侧重于有效利用现有教学资源，应用现代信息技术，改革传统教学方法和教学手段，提高教师的教学水平和教学能力。</w:t>
      </w:r>
    </w:p>
    <w:p>
      <w:pPr>
        <w:autoSpaceDE w:val="0"/>
        <w:ind w:firstLine="632" w:firstLineChars="200"/>
        <w:rPr>
          <w:rFonts w:ascii="仿宋_GB2312"/>
          <w:color w:val="000000"/>
        </w:rPr>
      </w:pPr>
      <w:r>
        <w:rPr>
          <w:rFonts w:hint="eastAsia" w:ascii="仿宋_GB2312"/>
          <w:color w:val="000000"/>
        </w:rPr>
        <w:t>5-1.</w:t>
      </w:r>
      <w:r>
        <w:rPr>
          <w:rFonts w:hint="eastAsia" w:ascii="宋体" w:hAnsi="宋体"/>
          <w:color w:val="000000"/>
        </w:rPr>
        <w:t>基于现代信息技术的课堂教学模式改革的研究与实践；</w:t>
      </w:r>
    </w:p>
    <w:p>
      <w:pPr>
        <w:autoSpaceDE w:val="0"/>
        <w:ind w:firstLine="632" w:firstLineChars="200"/>
        <w:rPr>
          <w:rFonts w:ascii="仿宋_GB2312"/>
          <w:color w:val="000000"/>
        </w:rPr>
      </w:pPr>
      <w:r>
        <w:rPr>
          <w:rFonts w:hint="eastAsia" w:ascii="仿宋_GB2312"/>
          <w:color w:val="000000"/>
        </w:rPr>
        <w:t>5-2.</w:t>
      </w:r>
      <w:r>
        <w:rPr>
          <w:rFonts w:hint="eastAsia" w:ascii="宋体" w:hAnsi="宋体"/>
          <w:color w:val="000000"/>
        </w:rPr>
        <w:t>各类基础课程教学手段和教学方法改革的研究与实践；</w:t>
      </w:r>
    </w:p>
    <w:p>
      <w:pPr>
        <w:autoSpaceDE w:val="0"/>
        <w:ind w:firstLine="632" w:firstLineChars="200"/>
        <w:rPr>
          <w:rFonts w:ascii="仿宋_GB2312"/>
          <w:color w:val="000000"/>
        </w:rPr>
      </w:pPr>
      <w:r>
        <w:rPr>
          <w:rFonts w:hint="eastAsia" w:ascii="仿宋_GB2312"/>
          <w:color w:val="000000"/>
        </w:rPr>
        <w:t>5-3.</w:t>
      </w:r>
      <w:r>
        <w:rPr>
          <w:rFonts w:hint="eastAsia" w:ascii="宋体" w:hAnsi="宋体"/>
          <w:color w:val="000000"/>
        </w:rPr>
        <w:t>以学生为中心的教学评价体系研究与实践；</w:t>
      </w:r>
    </w:p>
    <w:p>
      <w:pPr>
        <w:autoSpaceDE w:val="0"/>
        <w:ind w:firstLine="632" w:firstLineChars="200"/>
        <w:rPr>
          <w:rFonts w:ascii="仿宋_GB2312"/>
          <w:color w:val="000000"/>
          <w:spacing w:val="-10"/>
        </w:rPr>
      </w:pPr>
      <w:r>
        <w:rPr>
          <w:rFonts w:hint="eastAsia" w:ascii="仿宋_GB2312"/>
          <w:color w:val="000000"/>
        </w:rPr>
        <w:t>5-4.</w:t>
      </w:r>
      <w:r>
        <w:rPr>
          <w:rFonts w:hint="eastAsia" w:ascii="宋体" w:hAnsi="宋体"/>
          <w:color w:val="000000"/>
        </w:rPr>
        <w:t>网络</w:t>
      </w:r>
      <w:r>
        <w:rPr>
          <w:rFonts w:hint="eastAsia" w:ascii="宋体" w:hAnsi="宋体"/>
          <w:color w:val="000000"/>
          <w:spacing w:val="-10"/>
        </w:rPr>
        <w:t>环境下学生自主学习能力培养与评价的研究与实践；</w:t>
      </w:r>
    </w:p>
    <w:p>
      <w:pPr>
        <w:autoSpaceDE w:val="0"/>
        <w:ind w:firstLine="632" w:firstLineChars="200"/>
        <w:rPr>
          <w:rFonts w:ascii="仿宋_GB2312"/>
          <w:color w:val="000000"/>
        </w:rPr>
      </w:pPr>
      <w:r>
        <w:rPr>
          <w:rFonts w:hint="eastAsia" w:ascii="仿宋_GB2312"/>
          <w:color w:val="000000"/>
        </w:rPr>
        <w:t>5-5.</w:t>
      </w:r>
      <w:r>
        <w:rPr>
          <w:rFonts w:hint="eastAsia" w:ascii="宋体" w:hAnsi="宋体"/>
          <w:color w:val="000000"/>
        </w:rPr>
        <w:t>大学探究式、讨论式、启发式、项目式教学方法的研究与实践；</w:t>
      </w:r>
    </w:p>
    <w:p>
      <w:pPr>
        <w:autoSpaceDE w:val="0"/>
        <w:ind w:firstLine="632" w:firstLineChars="200"/>
        <w:rPr>
          <w:rFonts w:ascii="仿宋_GB2312"/>
          <w:color w:val="000000"/>
        </w:rPr>
      </w:pPr>
      <w:r>
        <w:rPr>
          <w:rFonts w:hint="eastAsia" w:ascii="仿宋_GB2312"/>
          <w:color w:val="000000"/>
        </w:rPr>
        <w:t>5-6.</w:t>
      </w:r>
      <w:r>
        <w:rPr>
          <w:rFonts w:hint="eastAsia" w:ascii="宋体" w:hAnsi="宋体"/>
          <w:color w:val="000000"/>
        </w:rPr>
        <w:t>“大班授课、小班研讨”教学方法改革的研究与实践；</w:t>
      </w:r>
    </w:p>
    <w:p>
      <w:pPr>
        <w:autoSpaceDE w:val="0"/>
        <w:ind w:firstLine="632" w:firstLineChars="200"/>
        <w:rPr>
          <w:rFonts w:ascii="仿宋_GB2312"/>
          <w:color w:val="000000"/>
        </w:rPr>
      </w:pPr>
      <w:r>
        <w:rPr>
          <w:rFonts w:hint="eastAsia" w:ascii="仿宋_GB2312"/>
          <w:color w:val="000000"/>
        </w:rPr>
        <w:t>5-7.</w:t>
      </w:r>
      <w:r>
        <w:rPr>
          <w:rFonts w:hint="eastAsia" w:ascii="宋体" w:hAnsi="宋体"/>
          <w:color w:val="000000"/>
        </w:rPr>
        <w:t>大学“双语教学”方式方法改革的研究与实践；</w:t>
      </w:r>
    </w:p>
    <w:p>
      <w:pPr>
        <w:autoSpaceDE w:val="0"/>
        <w:ind w:firstLine="632" w:firstLineChars="200"/>
        <w:rPr>
          <w:rFonts w:ascii="仿宋_GB2312"/>
          <w:color w:val="000000"/>
        </w:rPr>
      </w:pPr>
      <w:r>
        <w:rPr>
          <w:rFonts w:hint="eastAsia" w:ascii="仿宋_GB2312"/>
          <w:color w:val="000000"/>
        </w:rPr>
        <w:t>5-8.</w:t>
      </w:r>
      <w:r>
        <w:rPr>
          <w:rFonts w:hint="eastAsia" w:ascii="宋体" w:hAnsi="宋体"/>
          <w:color w:val="000000"/>
        </w:rPr>
        <w:t>高等学校各类课程考核评价改革的研究与实践；</w:t>
      </w:r>
    </w:p>
    <w:p>
      <w:pPr>
        <w:autoSpaceDE w:val="0"/>
        <w:ind w:firstLine="632" w:firstLineChars="200"/>
        <w:rPr>
          <w:rFonts w:ascii="仿宋_GB2312"/>
          <w:color w:val="000000"/>
        </w:rPr>
      </w:pPr>
      <w:r>
        <w:rPr>
          <w:rFonts w:hint="eastAsia" w:ascii="仿宋_GB2312"/>
          <w:color w:val="000000"/>
        </w:rPr>
        <w:t>5-9.</w:t>
      </w:r>
      <w:r>
        <w:rPr>
          <w:rFonts w:hint="eastAsia" w:ascii="宋体" w:hAnsi="宋体"/>
          <w:color w:val="000000"/>
        </w:rPr>
        <w:t>高等学校传统教学媒介优势传承的研究与实践；</w:t>
      </w:r>
    </w:p>
    <w:p>
      <w:pPr>
        <w:autoSpaceDE w:val="0"/>
        <w:ind w:firstLine="632" w:firstLineChars="200"/>
        <w:rPr>
          <w:rFonts w:ascii="仿宋_GB2312"/>
          <w:color w:val="000000"/>
        </w:rPr>
      </w:pPr>
      <w:r>
        <w:rPr>
          <w:rFonts w:hint="eastAsia" w:ascii="仿宋_GB2312"/>
          <w:color w:val="000000"/>
        </w:rPr>
        <w:t>5-10.</w:t>
      </w:r>
      <w:r>
        <w:rPr>
          <w:rFonts w:hint="eastAsia" w:ascii="宋体" w:hAnsi="宋体"/>
          <w:color w:val="000000"/>
        </w:rPr>
        <w:t>基于移动互联网络环境的学习模式研究与实践</w:t>
      </w:r>
      <w:r>
        <w:rPr>
          <w:rFonts w:hint="eastAsia" w:ascii="宋体" w:hAnsi="宋体"/>
          <w:color w:val="000000"/>
          <w:spacing w:val="-6"/>
        </w:rPr>
        <w:t>；</w:t>
      </w:r>
    </w:p>
    <w:p>
      <w:pPr>
        <w:autoSpaceDE w:val="0"/>
        <w:ind w:firstLine="632" w:firstLineChars="200"/>
        <w:rPr>
          <w:rFonts w:ascii="仿宋_GB2312"/>
          <w:color w:val="000000"/>
        </w:rPr>
      </w:pPr>
      <w:r>
        <w:rPr>
          <w:rFonts w:hint="eastAsia" w:ascii="仿宋_GB2312"/>
          <w:color w:val="000000"/>
        </w:rPr>
        <w:t>5-11.</w:t>
      </w:r>
      <w:r>
        <w:rPr>
          <w:rFonts w:hint="eastAsia" w:ascii="宋体" w:hAnsi="宋体"/>
          <w:color w:val="000000"/>
        </w:rPr>
        <w:t>微课在教学中的应用研究与实践；</w:t>
      </w:r>
    </w:p>
    <w:p>
      <w:pPr>
        <w:autoSpaceDE w:val="0"/>
        <w:ind w:firstLine="632" w:firstLineChars="200"/>
        <w:rPr>
          <w:rFonts w:ascii="仿宋_GB2312"/>
          <w:color w:val="000000"/>
          <w:spacing w:val="-10"/>
        </w:rPr>
      </w:pPr>
      <w:r>
        <w:rPr>
          <w:rFonts w:hint="eastAsia" w:ascii="仿宋_GB2312"/>
          <w:color w:val="000000"/>
        </w:rPr>
        <w:t>5-12.</w:t>
      </w:r>
      <w:r>
        <w:rPr>
          <w:rFonts w:hint="eastAsia" w:ascii="宋体" w:hAnsi="宋体"/>
          <w:color w:val="000000"/>
        </w:rPr>
        <w:t>学</w:t>
      </w:r>
      <w:r>
        <w:rPr>
          <w:rFonts w:hint="eastAsia" w:ascii="宋体" w:hAnsi="宋体"/>
          <w:color w:val="000000"/>
          <w:spacing w:val="-10"/>
        </w:rPr>
        <w:t>生学业成绩形成性评价和过程性评价方法研究与实践；</w:t>
      </w:r>
    </w:p>
    <w:p>
      <w:pPr>
        <w:autoSpaceDE w:val="0"/>
        <w:ind w:firstLine="632" w:firstLineChars="200"/>
        <w:rPr>
          <w:rFonts w:ascii="仿宋_GB2312"/>
          <w:color w:val="000000"/>
        </w:rPr>
      </w:pPr>
      <w:r>
        <w:rPr>
          <w:rFonts w:hint="eastAsia" w:ascii="仿宋_GB2312"/>
          <w:color w:val="000000"/>
        </w:rPr>
        <w:t>5-13.</w:t>
      </w:r>
      <w:r>
        <w:rPr>
          <w:rFonts w:hint="eastAsia" w:ascii="宋体" w:hAnsi="宋体"/>
          <w:color w:val="000000"/>
        </w:rPr>
        <w:t>基于智慧课堂师生互动的教学改革研究与实践；</w:t>
      </w:r>
    </w:p>
    <w:p>
      <w:pPr>
        <w:autoSpaceDE w:val="0"/>
        <w:ind w:firstLine="632" w:firstLineChars="200"/>
        <w:rPr>
          <w:rFonts w:ascii="仿宋_GB2312"/>
          <w:color w:val="000000"/>
          <w:spacing w:val="-10"/>
        </w:rPr>
      </w:pPr>
      <w:r>
        <w:rPr>
          <w:rFonts w:hint="eastAsia" w:ascii="仿宋_GB2312"/>
          <w:color w:val="000000"/>
        </w:rPr>
        <w:t>5-14.</w:t>
      </w:r>
      <w:r>
        <w:rPr>
          <w:rFonts w:hint="eastAsia" w:ascii="宋体" w:hAnsi="宋体"/>
          <w:color w:val="000000"/>
        </w:rPr>
        <w:t>基</w:t>
      </w:r>
      <w:r>
        <w:rPr>
          <w:rFonts w:hint="eastAsia" w:ascii="宋体" w:hAnsi="宋体"/>
          <w:color w:val="000000"/>
          <w:spacing w:val="-10"/>
        </w:rPr>
        <w:t>于一平三端智慧教学工具的一体化教学改革与实践。</w:t>
      </w:r>
    </w:p>
    <w:p>
      <w:pPr>
        <w:autoSpaceDE w:val="0"/>
        <w:ind w:firstLine="632" w:firstLineChars="200"/>
        <w:rPr>
          <w:rFonts w:ascii="黑体" w:eastAsia="黑体"/>
          <w:color w:val="000000"/>
        </w:rPr>
      </w:pPr>
      <w:r>
        <w:rPr>
          <w:rFonts w:hint="eastAsia" w:ascii="黑体" w:hAnsi="黑体" w:eastAsia="黑体"/>
          <w:color w:val="000000"/>
        </w:rPr>
        <w:t>六、教育教学管理</w:t>
      </w:r>
    </w:p>
    <w:p>
      <w:pPr>
        <w:autoSpaceDE w:val="0"/>
        <w:ind w:firstLine="632" w:firstLineChars="200"/>
        <w:rPr>
          <w:rFonts w:ascii="仿宋_GB2312"/>
          <w:color w:val="000000"/>
        </w:rPr>
      </w:pPr>
      <w:r>
        <w:rPr>
          <w:rFonts w:hint="eastAsia" w:ascii="宋体" w:hAnsi="宋体"/>
          <w:color w:val="000000"/>
        </w:rPr>
        <w:t>本类选题侧重于高等教育普及化背景下，构建高等教育教学管理、质量保证体系和监控评价机制，提高教育教学管理水平。</w:t>
      </w:r>
    </w:p>
    <w:p>
      <w:pPr>
        <w:autoSpaceDE w:val="0"/>
        <w:ind w:firstLine="632" w:firstLineChars="200"/>
        <w:rPr>
          <w:rFonts w:ascii="仿宋_GB2312"/>
          <w:color w:val="000000"/>
          <w:spacing w:val="-10"/>
        </w:rPr>
      </w:pPr>
      <w:r>
        <w:rPr>
          <w:rFonts w:hint="eastAsia" w:ascii="仿宋_GB2312"/>
          <w:color w:val="000000"/>
        </w:rPr>
        <w:t>6-1.</w:t>
      </w:r>
      <w:r>
        <w:rPr>
          <w:rFonts w:hint="eastAsia" w:ascii="宋体" w:hAnsi="宋体"/>
          <w:color w:val="000000"/>
          <w:spacing w:val="-6"/>
        </w:rPr>
        <w:t>高</w:t>
      </w:r>
      <w:r>
        <w:rPr>
          <w:rFonts w:hint="eastAsia" w:ascii="宋体" w:hAnsi="宋体"/>
          <w:color w:val="000000"/>
          <w:spacing w:val="-10"/>
        </w:rPr>
        <w:t>等学校创新教学质量监控体系和保障机制的研究与实践</w:t>
      </w:r>
      <w:r>
        <w:rPr>
          <w:rFonts w:hint="eastAsia" w:ascii="宋体" w:hAnsi="宋体"/>
          <w:color w:val="000000"/>
          <w:spacing w:val="-6"/>
        </w:rPr>
        <w:t>；</w:t>
      </w:r>
    </w:p>
    <w:p>
      <w:pPr>
        <w:autoSpaceDE w:val="0"/>
        <w:ind w:firstLine="632" w:firstLineChars="200"/>
        <w:rPr>
          <w:rFonts w:ascii="仿宋_GB2312"/>
          <w:color w:val="000000"/>
        </w:rPr>
      </w:pPr>
      <w:r>
        <w:rPr>
          <w:rFonts w:hint="eastAsia" w:ascii="仿宋_GB2312"/>
          <w:color w:val="000000"/>
        </w:rPr>
        <w:t>6-2.</w:t>
      </w:r>
      <w:r>
        <w:rPr>
          <w:rFonts w:hint="eastAsia" w:ascii="宋体" w:hAnsi="宋体"/>
          <w:color w:val="000000"/>
        </w:rPr>
        <w:t>适应多样化人才培养需要的教学管理模式和运行机制的研究与实践；</w:t>
      </w:r>
    </w:p>
    <w:p>
      <w:pPr>
        <w:autoSpaceDE w:val="0"/>
        <w:ind w:firstLine="632" w:firstLineChars="200"/>
        <w:rPr>
          <w:rFonts w:ascii="仿宋_GB2312"/>
          <w:color w:val="000000"/>
        </w:rPr>
      </w:pPr>
      <w:r>
        <w:rPr>
          <w:rFonts w:hint="eastAsia" w:ascii="仿宋_GB2312"/>
          <w:color w:val="000000"/>
        </w:rPr>
        <w:t>6-3.</w:t>
      </w:r>
      <w:r>
        <w:rPr>
          <w:rFonts w:hint="eastAsia" w:ascii="宋体" w:hAnsi="宋体"/>
          <w:color w:val="000000"/>
        </w:rPr>
        <w:t>高等学校优质教学资源共建共享机制的研究与实践；</w:t>
      </w:r>
    </w:p>
    <w:p>
      <w:pPr>
        <w:autoSpaceDE w:val="0"/>
        <w:ind w:firstLine="632" w:firstLineChars="200"/>
        <w:rPr>
          <w:rFonts w:ascii="仿宋_GB2312"/>
          <w:color w:val="000000"/>
        </w:rPr>
      </w:pPr>
      <w:r>
        <w:rPr>
          <w:rFonts w:hint="eastAsia" w:ascii="仿宋_GB2312"/>
          <w:color w:val="000000"/>
        </w:rPr>
        <w:t>6-4.</w:t>
      </w:r>
      <w:r>
        <w:rPr>
          <w:rFonts w:hint="eastAsia" w:ascii="宋体" w:hAnsi="宋体"/>
          <w:color w:val="000000"/>
        </w:rPr>
        <w:t>优秀基层教学组织建设与管理的研究与实践</w:t>
      </w:r>
      <w:r>
        <w:rPr>
          <w:rFonts w:hint="eastAsia" w:ascii="宋体" w:hAnsi="宋体"/>
          <w:color w:val="000000"/>
          <w:spacing w:val="-6"/>
        </w:rPr>
        <w:t>；</w:t>
      </w:r>
    </w:p>
    <w:p>
      <w:pPr>
        <w:autoSpaceDE w:val="0"/>
        <w:ind w:firstLine="632" w:firstLineChars="200"/>
        <w:rPr>
          <w:rFonts w:ascii="仿宋_GB2312"/>
          <w:color w:val="000000"/>
        </w:rPr>
      </w:pPr>
      <w:r>
        <w:rPr>
          <w:rFonts w:hint="eastAsia" w:ascii="仿宋_GB2312"/>
          <w:color w:val="000000"/>
        </w:rPr>
        <w:t>6-5.</w:t>
      </w:r>
      <w:r>
        <w:rPr>
          <w:rFonts w:hint="eastAsia" w:ascii="宋体" w:hAnsi="宋体"/>
          <w:color w:val="000000"/>
        </w:rPr>
        <w:t>高等学校教师发展中心建设研究与实践；</w:t>
      </w:r>
    </w:p>
    <w:p>
      <w:pPr>
        <w:autoSpaceDE w:val="0"/>
        <w:ind w:firstLine="632" w:firstLineChars="200"/>
        <w:rPr>
          <w:rFonts w:ascii="仿宋_GB2312"/>
          <w:color w:val="000000"/>
        </w:rPr>
      </w:pPr>
      <w:r>
        <w:rPr>
          <w:rFonts w:hint="eastAsia" w:ascii="仿宋_GB2312"/>
          <w:color w:val="000000"/>
        </w:rPr>
        <w:t>6-6.</w:t>
      </w:r>
      <w:r>
        <w:rPr>
          <w:rFonts w:hint="eastAsia" w:ascii="宋体" w:hAnsi="宋体"/>
          <w:color w:val="000000"/>
        </w:rPr>
        <w:t>大学生职业生涯规划、就业能力培养与就业指导服务的研究与实践；</w:t>
      </w:r>
    </w:p>
    <w:p>
      <w:pPr>
        <w:autoSpaceDE w:val="0"/>
        <w:ind w:firstLine="632" w:firstLineChars="200"/>
        <w:rPr>
          <w:rFonts w:ascii="仿宋_GB2312"/>
          <w:color w:val="000000"/>
        </w:rPr>
      </w:pPr>
      <w:r>
        <w:rPr>
          <w:rFonts w:hint="eastAsia" w:ascii="仿宋_GB2312"/>
          <w:color w:val="000000"/>
        </w:rPr>
        <w:t>6-7.</w:t>
      </w:r>
      <w:r>
        <w:rPr>
          <w:rFonts w:hint="eastAsia" w:ascii="宋体" w:hAnsi="宋体"/>
          <w:color w:val="000000"/>
        </w:rPr>
        <w:t>高等学校专业结构调整与退出预警机制的研究与实践；</w:t>
      </w:r>
    </w:p>
    <w:p>
      <w:pPr>
        <w:autoSpaceDE w:val="0"/>
        <w:ind w:firstLine="608" w:firstLineChars="200"/>
        <w:rPr>
          <w:rFonts w:ascii="仿宋_GB2312"/>
          <w:color w:val="000000"/>
          <w:spacing w:val="-6"/>
        </w:rPr>
      </w:pPr>
      <w:r>
        <w:rPr>
          <w:rFonts w:hint="eastAsia" w:ascii="仿宋_GB2312"/>
          <w:color w:val="000000"/>
          <w:spacing w:val="-6"/>
        </w:rPr>
        <w:t>6-8.</w:t>
      </w:r>
      <w:r>
        <w:rPr>
          <w:rFonts w:hint="eastAsia" w:ascii="宋体" w:hAnsi="宋体"/>
          <w:color w:val="000000"/>
          <w:spacing w:val="-6"/>
        </w:rPr>
        <w:t>基于移动平台的教学管理系统研究与实践；</w:t>
      </w:r>
    </w:p>
    <w:p>
      <w:pPr>
        <w:autoSpaceDE w:val="0"/>
        <w:ind w:firstLine="608" w:firstLineChars="200"/>
        <w:rPr>
          <w:rFonts w:ascii="仿宋_GB2312"/>
          <w:color w:val="000000"/>
          <w:spacing w:val="-6"/>
        </w:rPr>
      </w:pPr>
      <w:r>
        <w:rPr>
          <w:rFonts w:hint="eastAsia" w:ascii="仿宋_GB2312"/>
          <w:color w:val="000000"/>
          <w:spacing w:val="-6"/>
        </w:rPr>
        <w:t>6-9.</w:t>
      </w:r>
      <w:r>
        <w:rPr>
          <w:rFonts w:hint="eastAsia" w:ascii="宋体" w:hAnsi="宋体"/>
          <w:color w:val="000000"/>
          <w:spacing w:val="-6"/>
        </w:rPr>
        <w:t>高等教育学分认定和转换的研究与实践；</w:t>
      </w:r>
    </w:p>
    <w:p>
      <w:pPr>
        <w:autoSpaceDE w:val="0"/>
        <w:ind w:firstLine="608" w:firstLineChars="200"/>
        <w:rPr>
          <w:rFonts w:ascii="仿宋_GB2312"/>
          <w:color w:val="000000"/>
          <w:spacing w:val="-6"/>
        </w:rPr>
      </w:pPr>
      <w:r>
        <w:rPr>
          <w:rFonts w:hint="eastAsia" w:ascii="仿宋_GB2312"/>
          <w:color w:val="000000"/>
          <w:spacing w:val="-6"/>
        </w:rPr>
        <w:t>6-10.</w:t>
      </w:r>
      <w:r>
        <w:rPr>
          <w:rFonts w:hint="eastAsia" w:ascii="宋体" w:hAnsi="宋体"/>
          <w:color w:val="000000"/>
          <w:spacing w:val="-6"/>
        </w:rPr>
        <w:t>高校质量监测状态数据的采集与利用研究与实践；</w:t>
      </w:r>
    </w:p>
    <w:p>
      <w:pPr>
        <w:autoSpaceDE w:val="0"/>
        <w:ind w:firstLine="608" w:firstLineChars="200"/>
        <w:rPr>
          <w:rFonts w:ascii="仿宋_GB2312"/>
          <w:color w:val="000000"/>
          <w:spacing w:val="-6"/>
        </w:rPr>
      </w:pPr>
      <w:r>
        <w:rPr>
          <w:rFonts w:hint="eastAsia" w:ascii="仿宋_GB2312"/>
          <w:color w:val="000000"/>
          <w:spacing w:val="-6"/>
        </w:rPr>
        <w:t>6-11.</w:t>
      </w:r>
      <w:r>
        <w:rPr>
          <w:rFonts w:hint="eastAsia" w:ascii="宋体" w:hAnsi="宋体"/>
          <w:color w:val="000000"/>
          <w:spacing w:val="-6"/>
        </w:rPr>
        <w:t>行业学院管理模式创新研究与实践；</w:t>
      </w:r>
    </w:p>
    <w:p>
      <w:pPr>
        <w:autoSpaceDE w:val="0"/>
        <w:ind w:firstLine="608" w:firstLineChars="200"/>
        <w:rPr>
          <w:rFonts w:ascii="仿宋_GB2312"/>
          <w:color w:val="000000"/>
          <w:spacing w:val="-6"/>
        </w:rPr>
      </w:pPr>
      <w:r>
        <w:rPr>
          <w:rFonts w:hint="eastAsia" w:ascii="仿宋_GB2312"/>
          <w:color w:val="000000"/>
          <w:spacing w:val="-6"/>
        </w:rPr>
        <w:t>6-12.</w:t>
      </w:r>
      <w:r>
        <w:rPr>
          <w:rFonts w:hint="eastAsia" w:ascii="宋体" w:hAnsi="宋体"/>
          <w:color w:val="000000"/>
          <w:spacing w:val="-6"/>
        </w:rPr>
        <w:t>基于教学大数据对教学质量提升的研究与实践。</w:t>
      </w:r>
    </w:p>
    <w:p>
      <w:pPr>
        <w:autoSpaceDE w:val="0"/>
        <w:ind w:firstLine="474" w:firstLineChars="150"/>
        <w:rPr>
          <w:rFonts w:ascii="仿宋_GB2312"/>
          <w:color w:val="000000"/>
          <w:spacing w:val="-10"/>
        </w:rPr>
      </w:pPr>
      <w:r>
        <w:rPr>
          <w:rFonts w:hint="eastAsia" w:ascii="黑体" w:hAnsi="黑体" w:eastAsia="黑体"/>
          <w:color w:val="000000"/>
        </w:rPr>
        <w:t>说明：</w:t>
      </w:r>
      <w:r>
        <w:rPr>
          <w:rFonts w:hint="eastAsia" w:ascii="宋体" w:hAnsi="宋体"/>
          <w:color w:val="000000"/>
        </w:rPr>
        <w:t>以上条项均为选题内容的大方向，不是具体项目名称。申请者不应直接</w:t>
      </w:r>
      <w:r>
        <w:rPr>
          <w:rFonts w:hint="eastAsia" w:ascii="宋体" w:hAnsi="宋体"/>
          <w:color w:val="000000"/>
          <w:spacing w:val="-10"/>
        </w:rPr>
        <w:t>使用本指南中的某一条项作为具体的研究题目，应参考本项目指南，根据学校和个人的实际情况确定具体申报项目。</w:t>
      </w:r>
    </w:p>
    <w:p>
      <w:pPr>
        <w:rPr>
          <w:rFonts w:ascii="仿宋_GB2312"/>
          <w:color w:val="000000"/>
          <w:spacing w:val="-10"/>
        </w:rPr>
      </w:pPr>
      <w:r>
        <w:rPr>
          <w:rFonts w:hint="eastAsia" w:ascii="仿宋_GB2312"/>
          <w:color w:val="000000"/>
          <w:spacing w:val="-10"/>
        </w:rPr>
        <w:br w:type="page"/>
      </w:r>
    </w:p>
    <w:p>
      <w:pPr>
        <w:rPr>
          <w:rFonts w:ascii="黑体" w:hAnsi="黑体" w:eastAsia="黑体"/>
          <w:szCs w:val="32"/>
        </w:rPr>
      </w:pPr>
      <w:r>
        <w:rPr>
          <w:rFonts w:hint="eastAsia" w:ascii="黑体" w:hAnsi="黑体" w:eastAsia="黑体"/>
          <w:szCs w:val="32"/>
        </w:rPr>
        <w:t>附件2</w:t>
      </w:r>
    </w:p>
    <w:p>
      <w:pPr>
        <w:snapToGrid w:val="0"/>
        <w:spacing w:after="100" w:afterAutospacing="1" w:line="510" w:lineRule="atLeast"/>
        <w:rPr>
          <w:sz w:val="28"/>
          <w:szCs w:val="28"/>
        </w:rPr>
      </w:pPr>
      <w:r>
        <w:rPr>
          <w:sz w:val="28"/>
          <w:szCs w:val="28"/>
        </w:rPr>
        <w:t xml:space="preserve"> </w:t>
      </w:r>
    </w:p>
    <w:p>
      <w:pPr>
        <w:snapToGrid w:val="0"/>
        <w:spacing w:after="100" w:afterAutospacing="1" w:line="510" w:lineRule="atLeast"/>
        <w:rPr>
          <w:sz w:val="28"/>
          <w:szCs w:val="28"/>
        </w:rPr>
      </w:pPr>
    </w:p>
    <w:p>
      <w:pPr>
        <w:snapToGrid w:val="0"/>
        <w:spacing w:after="100" w:afterAutospacing="1" w:line="510" w:lineRule="atLeast"/>
        <w:rPr>
          <w:sz w:val="28"/>
          <w:szCs w:val="28"/>
        </w:rPr>
      </w:pPr>
    </w:p>
    <w:p>
      <w:pPr>
        <w:snapToGrid w:val="0"/>
        <w:jc w:val="center"/>
        <w:rPr>
          <w:rFonts w:eastAsia="方正小标宋简体"/>
          <w:sz w:val="48"/>
          <w:szCs w:val="48"/>
        </w:rPr>
      </w:pPr>
      <w:r>
        <w:rPr>
          <w:rFonts w:hint="eastAsia" w:ascii="方正小标宋简体" w:eastAsia="方正小标宋简体"/>
          <w:sz w:val="48"/>
          <w:szCs w:val="48"/>
        </w:rPr>
        <w:t>商丘学院教育教学改革研究</w:t>
      </w:r>
    </w:p>
    <w:p>
      <w:pPr>
        <w:snapToGrid w:val="0"/>
        <w:jc w:val="center"/>
        <w:rPr>
          <w:rFonts w:eastAsia="方正小标宋简体"/>
          <w:sz w:val="48"/>
          <w:szCs w:val="48"/>
        </w:rPr>
      </w:pPr>
      <w:r>
        <w:rPr>
          <w:rFonts w:hint="eastAsia" w:ascii="方正小标宋简体" w:eastAsia="方正小标宋简体"/>
          <w:sz w:val="48"/>
          <w:szCs w:val="48"/>
        </w:rPr>
        <w:t>与实践项目立项申请书</w:t>
      </w:r>
    </w:p>
    <w:p>
      <w:pPr>
        <w:snapToGrid w:val="0"/>
        <w:spacing w:line="243" w:lineRule="atLeast"/>
        <w:jc w:val="center"/>
      </w:pPr>
      <w:r>
        <w:t xml:space="preserve"> </w:t>
      </w:r>
    </w:p>
    <w:p>
      <w:pPr>
        <w:snapToGrid w:val="0"/>
        <w:spacing w:line="243" w:lineRule="atLeast"/>
        <w:jc w:val="center"/>
      </w:pPr>
      <w:r>
        <w:t xml:space="preserve"> </w:t>
      </w:r>
    </w:p>
    <w:p>
      <w:pPr>
        <w:snapToGrid w:val="0"/>
        <w:spacing w:line="243" w:lineRule="atLeast"/>
        <w:jc w:val="center"/>
      </w:pPr>
      <w:r>
        <w:t xml:space="preserve"> </w:t>
      </w:r>
    </w:p>
    <w:p>
      <w:pPr>
        <w:snapToGrid w:val="0"/>
        <w:spacing w:line="243" w:lineRule="atLeast"/>
        <w:jc w:val="left"/>
      </w:pPr>
      <w:r>
        <w:t xml:space="preserve"> </w:t>
      </w:r>
    </w:p>
    <w:p>
      <w:pPr>
        <w:snapToGrid w:val="0"/>
        <w:spacing w:line="243" w:lineRule="atLeast"/>
        <w:jc w:val="center"/>
      </w:pPr>
      <w:r>
        <w:t xml:space="preserve"> </w:t>
      </w:r>
    </w:p>
    <w:p>
      <w:pPr>
        <w:snapToGrid w:val="0"/>
        <w:spacing w:line="660" w:lineRule="atLeast"/>
        <w:ind w:firstLine="1161" w:firstLineChars="392"/>
        <w:rPr>
          <w:rFonts w:ascii="黑体" w:hAnsi="黑体" w:eastAsia="黑体"/>
          <w:sz w:val="30"/>
          <w:szCs w:val="30"/>
          <w:u w:val="single"/>
        </w:rPr>
      </w:pPr>
      <w:r>
        <w:rPr>
          <w:rFonts w:hint="eastAsia" w:ascii="黑体" w:hAnsi="黑体" w:eastAsia="黑体"/>
          <w:sz w:val="30"/>
          <w:szCs w:val="30"/>
        </w:rPr>
        <w:t>项目名称：</w:t>
      </w:r>
      <w:r>
        <w:rPr>
          <w:rFonts w:hint="eastAsia" w:ascii="黑体" w:hAnsi="黑体" w:eastAsia="黑体"/>
          <w:sz w:val="30"/>
          <w:szCs w:val="30"/>
          <w:u w:val="single"/>
        </w:rPr>
        <w:t xml:space="preserve">                                </w:t>
      </w:r>
      <w:r>
        <w:rPr>
          <w:rFonts w:hint="eastAsia" w:ascii="黑体" w:hAnsi="黑体" w:eastAsia="黑体"/>
          <w:sz w:val="30"/>
          <w:szCs w:val="30"/>
        </w:rPr>
        <w:t xml:space="preserve"> </w:t>
      </w:r>
    </w:p>
    <w:p>
      <w:pPr>
        <w:snapToGrid w:val="0"/>
        <w:spacing w:line="660" w:lineRule="atLeast"/>
        <w:ind w:firstLine="1161" w:firstLineChars="392"/>
        <w:rPr>
          <w:rFonts w:ascii="黑体" w:hAnsi="黑体" w:eastAsia="黑体"/>
          <w:sz w:val="30"/>
          <w:szCs w:val="30"/>
        </w:rPr>
      </w:pPr>
      <w:r>
        <w:rPr>
          <w:rFonts w:hint="eastAsia" w:ascii="黑体" w:hAnsi="黑体" w:eastAsia="黑体"/>
          <w:sz w:val="30"/>
          <w:szCs w:val="30"/>
        </w:rPr>
        <w:t>项目主持人：</w:t>
      </w:r>
      <w:r>
        <w:rPr>
          <w:rFonts w:hint="eastAsia" w:ascii="黑体" w:hAnsi="黑体" w:eastAsia="黑体"/>
          <w:sz w:val="30"/>
          <w:szCs w:val="30"/>
          <w:u w:val="single"/>
        </w:rPr>
        <w:t xml:space="preserve">                              </w:t>
      </w:r>
    </w:p>
    <w:p>
      <w:pPr>
        <w:snapToGrid w:val="0"/>
        <w:spacing w:line="660" w:lineRule="atLeast"/>
        <w:ind w:firstLine="1176" w:firstLineChars="397"/>
        <w:rPr>
          <w:rFonts w:ascii="黑体" w:hAnsi="黑体" w:eastAsia="黑体"/>
          <w:sz w:val="30"/>
          <w:szCs w:val="30"/>
        </w:rPr>
      </w:pPr>
      <w:r>
        <w:rPr>
          <w:rFonts w:hint="eastAsia" w:ascii="黑体" w:hAnsi="黑体" w:eastAsia="黑体"/>
          <w:sz w:val="30"/>
          <w:szCs w:val="30"/>
        </w:rPr>
        <w:t>项目成员：</w:t>
      </w:r>
      <w:r>
        <w:rPr>
          <w:rFonts w:hint="eastAsia" w:ascii="黑体" w:hAnsi="黑体" w:eastAsia="黑体"/>
          <w:sz w:val="30"/>
          <w:szCs w:val="30"/>
          <w:u w:val="single"/>
        </w:rPr>
        <w:t xml:space="preserve">                                </w:t>
      </w:r>
    </w:p>
    <w:p>
      <w:pPr>
        <w:snapToGrid w:val="0"/>
        <w:spacing w:line="660" w:lineRule="atLeast"/>
        <w:ind w:firstLine="1161" w:firstLineChars="392"/>
        <w:rPr>
          <w:rFonts w:ascii="黑体" w:hAnsi="黑体" w:eastAsia="黑体"/>
          <w:sz w:val="30"/>
          <w:szCs w:val="30"/>
        </w:rPr>
      </w:pPr>
      <w:r>
        <w:rPr>
          <w:rFonts w:hint="eastAsia" w:ascii="黑体" w:hAnsi="黑体" w:eastAsia="黑体"/>
          <w:sz w:val="30"/>
          <w:szCs w:val="30"/>
        </w:rPr>
        <w:t>申请单位（盖章）：</w:t>
      </w:r>
      <w:r>
        <w:rPr>
          <w:rFonts w:hint="eastAsia" w:ascii="黑体" w:hAnsi="黑体" w:eastAsia="黑体"/>
          <w:sz w:val="30"/>
          <w:szCs w:val="30"/>
          <w:u w:val="single"/>
        </w:rPr>
        <w:t xml:space="preserve">                         </w:t>
      </w:r>
    </w:p>
    <w:p>
      <w:pPr>
        <w:snapToGrid w:val="0"/>
        <w:spacing w:line="660" w:lineRule="atLeast"/>
        <w:ind w:firstLine="1161" w:firstLineChars="392"/>
        <w:rPr>
          <w:rFonts w:ascii="黑体" w:hAnsi="黑体" w:eastAsia="黑体"/>
          <w:sz w:val="30"/>
          <w:szCs w:val="30"/>
        </w:rPr>
      </w:pPr>
      <w:r>
        <w:rPr>
          <w:rFonts w:hint="eastAsia" w:ascii="黑体" w:hAnsi="黑体" w:eastAsia="黑体"/>
          <w:sz w:val="30"/>
          <w:szCs w:val="30"/>
        </w:rPr>
        <w:t>申报层次：</w:t>
      </w:r>
      <w:r>
        <w:rPr>
          <w:rFonts w:hint="eastAsia" w:ascii="黑体" w:hAnsi="黑体" w:eastAsia="黑体"/>
          <w:sz w:val="30"/>
          <w:szCs w:val="30"/>
          <w:u w:val="single"/>
        </w:rPr>
        <w:t xml:space="preserve">                                </w:t>
      </w:r>
    </w:p>
    <w:p>
      <w:pPr>
        <w:snapToGrid w:val="0"/>
        <w:spacing w:line="660" w:lineRule="atLeast"/>
        <w:ind w:firstLine="1161" w:firstLineChars="392"/>
        <w:rPr>
          <w:rFonts w:ascii="黑体" w:hAnsi="黑体" w:eastAsia="黑体"/>
          <w:sz w:val="30"/>
          <w:szCs w:val="30"/>
        </w:rPr>
      </w:pPr>
      <w:r>
        <w:rPr>
          <w:rFonts w:hint="eastAsia" w:ascii="黑体" w:hAnsi="黑体" w:eastAsia="黑体"/>
          <w:sz w:val="30"/>
          <w:szCs w:val="30"/>
        </w:rPr>
        <w:t>项目科类：</w:t>
      </w:r>
      <w:r>
        <w:rPr>
          <w:rFonts w:hint="eastAsia" w:ascii="黑体" w:hAnsi="黑体" w:eastAsia="黑体"/>
          <w:sz w:val="30"/>
          <w:szCs w:val="30"/>
          <w:u w:val="single"/>
        </w:rPr>
        <w:t xml:space="preserve">                                </w:t>
      </w:r>
      <w:r>
        <w:rPr>
          <w:rFonts w:hint="eastAsia" w:ascii="黑体" w:hAnsi="黑体" w:eastAsia="黑体"/>
          <w:sz w:val="30"/>
          <w:szCs w:val="30"/>
        </w:rPr>
        <w:t xml:space="preserve"> </w:t>
      </w:r>
    </w:p>
    <w:p>
      <w:pPr>
        <w:snapToGrid w:val="0"/>
        <w:spacing w:line="660" w:lineRule="atLeast"/>
        <w:ind w:firstLine="1161" w:firstLineChars="392"/>
        <w:rPr>
          <w:rFonts w:ascii="黑体" w:hAnsi="黑体" w:eastAsia="黑体"/>
          <w:sz w:val="30"/>
          <w:szCs w:val="30"/>
        </w:rPr>
      </w:pPr>
      <w:r>
        <w:rPr>
          <w:rFonts w:hint="eastAsia" w:ascii="黑体" w:hAnsi="黑体" w:eastAsia="黑体"/>
          <w:sz w:val="30"/>
          <w:szCs w:val="30"/>
        </w:rPr>
        <w:t xml:space="preserve">代    码         □□□□  </w:t>
      </w:r>
    </w:p>
    <w:p>
      <w:pPr>
        <w:snapToGrid w:val="0"/>
        <w:spacing w:line="532" w:lineRule="atLeast"/>
        <w:ind w:firstLine="1161" w:firstLineChars="392"/>
        <w:rPr>
          <w:rFonts w:ascii="黑体" w:hAnsi="黑体" w:eastAsia="黑体"/>
          <w:sz w:val="30"/>
          <w:szCs w:val="30"/>
        </w:rPr>
      </w:pPr>
      <w:r>
        <w:rPr>
          <w:rFonts w:hint="eastAsia" w:ascii="黑体" w:hAnsi="黑体" w:eastAsia="黑体"/>
          <w:sz w:val="30"/>
          <w:szCs w:val="30"/>
        </w:rPr>
        <w:t>推荐序号         □□□□</w:t>
      </w:r>
    </w:p>
    <w:p>
      <w:pPr>
        <w:rPr>
          <w:rFonts w:ascii="黑体" w:eastAsia="黑体"/>
        </w:rPr>
      </w:pPr>
      <w:r>
        <w:rPr>
          <w:rFonts w:hint="eastAsia" w:ascii="黑体" w:eastAsia="黑体"/>
        </w:rPr>
        <w:t xml:space="preserve"> </w:t>
      </w:r>
    </w:p>
    <w:p>
      <w:pPr>
        <w:rPr>
          <w:rFonts w:ascii="黑体" w:eastAsia="黑体"/>
        </w:rPr>
      </w:pPr>
      <w:r>
        <w:rPr>
          <w:rFonts w:hint="eastAsia" w:ascii="黑体" w:eastAsia="黑体"/>
        </w:rPr>
        <w:t xml:space="preserve"> </w:t>
      </w:r>
    </w:p>
    <w:p>
      <w:pPr>
        <w:rPr>
          <w:rFonts w:ascii="黑体" w:hAnsi="黑体" w:eastAsia="黑体"/>
          <w:sz w:val="30"/>
          <w:szCs w:val="30"/>
        </w:rPr>
      </w:pPr>
      <w:r>
        <w:rPr>
          <w:rFonts w:hint="eastAsia" w:ascii="黑体" w:hAnsi="黑体" w:eastAsia="黑体"/>
          <w:sz w:val="30"/>
          <w:szCs w:val="30"/>
        </w:rPr>
        <w:t>一、简表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1081"/>
        <w:gridCol w:w="814"/>
        <w:gridCol w:w="194"/>
        <w:gridCol w:w="77"/>
        <w:gridCol w:w="459"/>
        <w:gridCol w:w="879"/>
        <w:gridCol w:w="349"/>
        <w:gridCol w:w="580"/>
        <w:gridCol w:w="1345"/>
        <w:gridCol w:w="1412"/>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jc w:val="center"/>
        </w:trPr>
        <w:tc>
          <w:tcPr>
            <w:tcW w:w="573" w:type="dxa"/>
            <w:vMerge w:val="restart"/>
            <w:tcBorders>
              <w:top w:val="single" w:color="auto" w:sz="4" w:space="0"/>
              <w:left w:val="single" w:color="auto" w:sz="4" w:space="0"/>
              <w:bottom w:val="single" w:color="auto" w:sz="4" w:space="0"/>
              <w:right w:val="single" w:color="auto" w:sz="4" w:space="0"/>
            </w:tcBorders>
            <w:vAlign w:val="center"/>
          </w:tcPr>
          <w:p>
            <w:pPr>
              <w:pStyle w:val="9"/>
              <w:widowControl w:val="0"/>
              <w:snapToGrid w:val="0"/>
              <w:spacing w:before="0" w:after="0"/>
              <w:jc w:val="center"/>
              <w:rPr>
                <w:rFonts w:ascii="仿宋" w:hAnsi="仿宋" w:eastAsia="仿宋"/>
                <w:sz w:val="21"/>
              </w:rPr>
            </w:pPr>
            <w:r>
              <w:rPr>
                <w:rFonts w:hint="eastAsia" w:ascii="仿宋" w:hAnsi="仿宋" w:eastAsia="仿宋"/>
                <w:sz w:val="21"/>
              </w:rPr>
              <w:t>项</w:t>
            </w:r>
          </w:p>
          <w:p>
            <w:pPr>
              <w:snapToGrid w:val="0"/>
              <w:jc w:val="center"/>
              <w:rPr>
                <w:rFonts w:ascii="仿宋" w:hAnsi="仿宋" w:eastAsia="仿宋"/>
                <w:sz w:val="21"/>
              </w:rPr>
            </w:pPr>
            <w:r>
              <w:rPr>
                <w:rFonts w:hint="eastAsia" w:ascii="仿宋" w:hAnsi="仿宋" w:eastAsia="仿宋"/>
                <w:sz w:val="21"/>
              </w:rPr>
              <w:t>目</w:t>
            </w:r>
          </w:p>
          <w:p>
            <w:pPr>
              <w:snapToGrid w:val="0"/>
              <w:jc w:val="center"/>
              <w:rPr>
                <w:rFonts w:ascii="仿宋" w:hAnsi="仿宋" w:eastAsia="仿宋"/>
                <w:sz w:val="21"/>
              </w:rPr>
            </w:pPr>
            <w:r>
              <w:rPr>
                <w:rFonts w:hint="eastAsia" w:ascii="仿宋" w:hAnsi="仿宋" w:eastAsia="仿宋"/>
                <w:sz w:val="21"/>
              </w:rPr>
              <w:t>简</w:t>
            </w:r>
          </w:p>
          <w:p>
            <w:pPr>
              <w:snapToGrid w:val="0"/>
              <w:jc w:val="center"/>
              <w:rPr>
                <w:rFonts w:ascii="仿宋" w:hAnsi="仿宋" w:eastAsia="仿宋"/>
                <w:sz w:val="21"/>
              </w:rPr>
            </w:pPr>
            <w:r>
              <w:rPr>
                <w:rFonts w:hint="eastAsia" w:ascii="仿宋" w:hAnsi="仿宋" w:eastAsia="仿宋"/>
                <w:sz w:val="21"/>
              </w:rPr>
              <w:t>况</w:t>
            </w:r>
          </w:p>
        </w:tc>
        <w:tc>
          <w:tcPr>
            <w:tcW w:w="1081"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项目名称</w:t>
            </w:r>
          </w:p>
        </w:tc>
        <w:tc>
          <w:tcPr>
            <w:tcW w:w="7406" w:type="dxa"/>
            <w:gridSpan w:val="10"/>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sz w:val="21"/>
              </w:rPr>
            </w:pPr>
          </w:p>
        </w:tc>
        <w:tc>
          <w:tcPr>
            <w:tcW w:w="1081"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起止年月</w:t>
            </w:r>
          </w:p>
        </w:tc>
        <w:tc>
          <w:tcPr>
            <w:tcW w:w="7406" w:type="dxa"/>
            <w:gridSpan w:val="10"/>
            <w:tcBorders>
              <w:top w:val="single" w:color="auto" w:sz="4" w:space="0"/>
              <w:left w:val="nil"/>
              <w:bottom w:val="single" w:color="auto" w:sz="4" w:space="0"/>
              <w:right w:val="single" w:color="auto" w:sz="4" w:space="0"/>
            </w:tcBorders>
            <w:vAlign w:val="center"/>
          </w:tcPr>
          <w:p>
            <w:pPr>
              <w:snapToGrid w:val="0"/>
              <w:ind w:firstLine="1236" w:firstLineChars="600"/>
              <w:rPr>
                <w:rFonts w:ascii="仿宋" w:hAnsi="仿宋" w:eastAsia="仿宋"/>
                <w:sz w:val="21"/>
              </w:rPr>
            </w:pPr>
            <w:r>
              <w:rPr>
                <w:rFonts w:hint="eastAsia" w:ascii="仿宋" w:hAnsi="仿宋" w:eastAsia="仿宋"/>
                <w:sz w:val="21"/>
              </w:rPr>
              <w:t>年    月至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573" w:type="dxa"/>
            <w:vMerge w:val="restart"/>
            <w:tcBorders>
              <w:top w:val="nil"/>
              <w:left w:val="single" w:color="auto" w:sz="4" w:space="0"/>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项</w:t>
            </w:r>
          </w:p>
          <w:p>
            <w:pPr>
              <w:snapToGrid w:val="0"/>
              <w:jc w:val="center"/>
              <w:rPr>
                <w:rFonts w:ascii="仿宋" w:hAnsi="仿宋" w:eastAsia="仿宋"/>
                <w:sz w:val="21"/>
              </w:rPr>
            </w:pPr>
            <w:r>
              <w:rPr>
                <w:rFonts w:hint="eastAsia" w:ascii="仿宋" w:hAnsi="仿宋" w:eastAsia="仿宋"/>
                <w:sz w:val="21"/>
              </w:rPr>
              <w:t>目</w:t>
            </w:r>
          </w:p>
          <w:p>
            <w:pPr>
              <w:snapToGrid w:val="0"/>
              <w:jc w:val="center"/>
              <w:rPr>
                <w:rFonts w:ascii="仿宋" w:hAnsi="仿宋" w:eastAsia="仿宋"/>
                <w:sz w:val="21"/>
              </w:rPr>
            </w:pPr>
            <w:r>
              <w:rPr>
                <w:rFonts w:hint="eastAsia" w:ascii="仿宋" w:hAnsi="仿宋" w:eastAsia="仿宋"/>
                <w:sz w:val="21"/>
              </w:rPr>
              <w:t>主</w:t>
            </w:r>
          </w:p>
          <w:p>
            <w:pPr>
              <w:snapToGrid w:val="0"/>
              <w:jc w:val="center"/>
              <w:rPr>
                <w:rFonts w:ascii="仿宋" w:hAnsi="仿宋" w:eastAsia="仿宋"/>
                <w:sz w:val="21"/>
              </w:rPr>
            </w:pPr>
            <w:r>
              <w:rPr>
                <w:rFonts w:hint="eastAsia" w:ascii="仿宋" w:hAnsi="仿宋" w:eastAsia="仿宋"/>
                <w:sz w:val="21"/>
              </w:rPr>
              <w:t>持</w:t>
            </w:r>
          </w:p>
          <w:p>
            <w:pPr>
              <w:snapToGrid w:val="0"/>
              <w:jc w:val="center"/>
              <w:rPr>
                <w:rFonts w:ascii="仿宋" w:hAnsi="仿宋" w:eastAsia="仿宋"/>
                <w:sz w:val="21"/>
              </w:rPr>
            </w:pPr>
            <w:r>
              <w:rPr>
                <w:rFonts w:hint="eastAsia" w:ascii="仿宋" w:hAnsi="仿宋" w:eastAsia="仿宋"/>
                <w:sz w:val="21"/>
              </w:rPr>
              <w:t>人</w:t>
            </w:r>
          </w:p>
        </w:tc>
        <w:tc>
          <w:tcPr>
            <w:tcW w:w="1081"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姓名</w:t>
            </w:r>
          </w:p>
        </w:tc>
        <w:tc>
          <w:tcPr>
            <w:tcW w:w="1544" w:type="dxa"/>
            <w:gridSpan w:val="4"/>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879"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性别</w:t>
            </w:r>
          </w:p>
        </w:tc>
        <w:tc>
          <w:tcPr>
            <w:tcW w:w="929"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345"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出生</w:t>
            </w:r>
          </w:p>
          <w:p>
            <w:pPr>
              <w:snapToGrid w:val="0"/>
              <w:jc w:val="center"/>
              <w:rPr>
                <w:rFonts w:ascii="仿宋" w:hAnsi="仿宋" w:eastAsia="仿宋"/>
                <w:sz w:val="21"/>
              </w:rPr>
            </w:pPr>
            <w:r>
              <w:rPr>
                <w:rFonts w:hint="eastAsia" w:ascii="仿宋" w:hAnsi="仿宋" w:eastAsia="仿宋"/>
                <w:sz w:val="21"/>
              </w:rPr>
              <w:t>年月</w:t>
            </w:r>
          </w:p>
        </w:tc>
        <w:tc>
          <w:tcPr>
            <w:tcW w:w="2709" w:type="dxa"/>
            <w:gridSpan w:val="2"/>
            <w:tcBorders>
              <w:top w:val="single" w:color="auto" w:sz="4" w:space="0"/>
              <w:left w:val="nil"/>
              <w:bottom w:val="single" w:color="auto" w:sz="4" w:space="0"/>
              <w:right w:val="single" w:color="auto" w:sz="4" w:space="0"/>
            </w:tcBorders>
            <w:vAlign w:val="center"/>
          </w:tcPr>
          <w:p>
            <w:pPr>
              <w:widowControl/>
              <w:jc w:val="left"/>
              <w:rPr>
                <w:rFonts w:ascii="Calibri" w:hAnsi="Calibri" w:cs="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sz w:val="21"/>
              </w:rPr>
            </w:pPr>
          </w:p>
        </w:tc>
        <w:tc>
          <w:tcPr>
            <w:tcW w:w="2625" w:type="dxa"/>
            <w:gridSpan w:val="5"/>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专业技术职务</w:t>
            </w:r>
          </w:p>
          <w:p>
            <w:pPr>
              <w:snapToGrid w:val="0"/>
              <w:jc w:val="center"/>
              <w:rPr>
                <w:rFonts w:ascii="仿宋" w:hAnsi="仿宋" w:eastAsia="仿宋"/>
                <w:sz w:val="21"/>
              </w:rPr>
            </w:pPr>
            <w:r>
              <w:rPr>
                <w:rFonts w:hint="eastAsia" w:ascii="仿宋" w:hAnsi="仿宋" w:eastAsia="仿宋"/>
                <w:sz w:val="21"/>
              </w:rPr>
              <w:t>/行政职务</w:t>
            </w:r>
          </w:p>
        </w:tc>
        <w:tc>
          <w:tcPr>
            <w:tcW w:w="1808" w:type="dxa"/>
            <w:gridSpan w:val="3"/>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w:t>
            </w:r>
          </w:p>
        </w:tc>
        <w:tc>
          <w:tcPr>
            <w:tcW w:w="1345"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最终学位</w:t>
            </w:r>
          </w:p>
          <w:p>
            <w:pPr>
              <w:snapToGrid w:val="0"/>
              <w:jc w:val="center"/>
              <w:rPr>
                <w:rFonts w:ascii="仿宋" w:hAnsi="仿宋" w:eastAsia="仿宋"/>
                <w:sz w:val="21"/>
              </w:rPr>
            </w:pPr>
            <w:r>
              <w:rPr>
                <w:rFonts w:hint="eastAsia" w:ascii="仿宋" w:hAnsi="仿宋" w:eastAsia="仿宋"/>
                <w:sz w:val="21"/>
              </w:rPr>
              <w:t>/毕业院校</w:t>
            </w:r>
          </w:p>
        </w:tc>
        <w:tc>
          <w:tcPr>
            <w:tcW w:w="2709"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sz w:val="21"/>
              </w:rPr>
            </w:pPr>
          </w:p>
        </w:tc>
        <w:tc>
          <w:tcPr>
            <w:tcW w:w="1081" w:type="dxa"/>
            <w:vMerge w:val="restart"/>
            <w:tcBorders>
              <w:top w:val="nil"/>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所在学校</w:t>
            </w:r>
          </w:p>
        </w:tc>
        <w:tc>
          <w:tcPr>
            <w:tcW w:w="1085" w:type="dxa"/>
            <w:gridSpan w:val="3"/>
            <w:vMerge w:val="restart"/>
            <w:tcBorders>
              <w:top w:val="nil"/>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学校名称</w:t>
            </w:r>
          </w:p>
        </w:tc>
        <w:tc>
          <w:tcPr>
            <w:tcW w:w="2267" w:type="dxa"/>
            <w:gridSpan w:val="4"/>
            <w:vMerge w:val="restart"/>
            <w:tcBorders>
              <w:top w:val="nil"/>
              <w:left w:val="nil"/>
              <w:bottom w:val="single" w:color="auto" w:sz="4" w:space="0"/>
              <w:right w:val="single" w:color="auto" w:sz="4" w:space="0"/>
            </w:tcBorders>
            <w:vAlign w:val="center"/>
          </w:tcPr>
          <w:p>
            <w:pPr>
              <w:snapToGrid w:val="0"/>
              <w:jc w:val="center"/>
              <w:rPr>
                <w:rFonts w:ascii="仿宋" w:hAnsi="仿宋" w:eastAsia="仿宋"/>
                <w:sz w:val="21"/>
              </w:rPr>
            </w:pPr>
          </w:p>
        </w:tc>
        <w:tc>
          <w:tcPr>
            <w:tcW w:w="1345"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邮政</w:t>
            </w:r>
          </w:p>
          <w:p>
            <w:pPr>
              <w:snapToGrid w:val="0"/>
              <w:jc w:val="center"/>
              <w:rPr>
                <w:rFonts w:ascii="仿宋" w:hAnsi="仿宋" w:eastAsia="仿宋"/>
                <w:sz w:val="21"/>
              </w:rPr>
            </w:pPr>
            <w:r>
              <w:rPr>
                <w:rFonts w:hint="eastAsia" w:ascii="仿宋" w:hAnsi="仿宋" w:eastAsia="仿宋"/>
                <w:sz w:val="21"/>
              </w:rPr>
              <w:t>编码</w:t>
            </w:r>
          </w:p>
        </w:tc>
        <w:tc>
          <w:tcPr>
            <w:tcW w:w="2709" w:type="dxa"/>
            <w:gridSpan w:val="2"/>
            <w:tcBorders>
              <w:top w:val="single" w:color="auto" w:sz="4" w:space="0"/>
              <w:left w:val="nil"/>
              <w:bottom w:val="single" w:color="auto" w:sz="4" w:space="0"/>
              <w:right w:val="single" w:color="auto" w:sz="4" w:space="0"/>
            </w:tcBorders>
            <w:vAlign w:val="center"/>
          </w:tcPr>
          <w:p>
            <w:pPr>
              <w:widowControl/>
              <w:jc w:val="left"/>
              <w:rPr>
                <w:rFonts w:ascii="Calibri" w:hAnsi="Calibri" w:cs="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sz w:val="21"/>
              </w:rPr>
            </w:pPr>
          </w:p>
        </w:tc>
        <w:tc>
          <w:tcPr>
            <w:tcW w:w="0" w:type="auto"/>
            <w:vMerge w:val="continue"/>
            <w:tcBorders>
              <w:top w:val="nil"/>
              <w:left w:val="nil"/>
              <w:bottom w:val="single" w:color="auto" w:sz="4" w:space="0"/>
              <w:right w:val="single" w:color="auto" w:sz="4" w:space="0"/>
            </w:tcBorders>
            <w:vAlign w:val="center"/>
          </w:tcPr>
          <w:p>
            <w:pPr>
              <w:widowControl/>
              <w:jc w:val="left"/>
              <w:rPr>
                <w:rFonts w:ascii="仿宋" w:hAnsi="仿宋" w:eastAsia="仿宋"/>
                <w:sz w:val="21"/>
              </w:rPr>
            </w:pPr>
          </w:p>
        </w:tc>
        <w:tc>
          <w:tcPr>
            <w:tcW w:w="0" w:type="auto"/>
            <w:gridSpan w:val="3"/>
            <w:vMerge w:val="continue"/>
            <w:tcBorders>
              <w:top w:val="nil"/>
              <w:left w:val="nil"/>
              <w:bottom w:val="single" w:color="auto" w:sz="4" w:space="0"/>
              <w:right w:val="single" w:color="auto" w:sz="4" w:space="0"/>
            </w:tcBorders>
            <w:vAlign w:val="center"/>
          </w:tcPr>
          <w:p>
            <w:pPr>
              <w:widowControl/>
              <w:jc w:val="left"/>
              <w:rPr>
                <w:rFonts w:ascii="仿宋" w:hAnsi="仿宋" w:eastAsia="仿宋"/>
                <w:sz w:val="21"/>
              </w:rPr>
            </w:pPr>
          </w:p>
        </w:tc>
        <w:tc>
          <w:tcPr>
            <w:tcW w:w="0" w:type="auto"/>
            <w:gridSpan w:val="4"/>
            <w:vMerge w:val="continue"/>
            <w:tcBorders>
              <w:top w:val="nil"/>
              <w:left w:val="nil"/>
              <w:bottom w:val="single" w:color="auto" w:sz="4" w:space="0"/>
              <w:right w:val="single" w:color="auto" w:sz="4" w:space="0"/>
            </w:tcBorders>
            <w:vAlign w:val="center"/>
          </w:tcPr>
          <w:p>
            <w:pPr>
              <w:widowControl/>
              <w:jc w:val="left"/>
              <w:rPr>
                <w:rFonts w:ascii="仿宋" w:hAnsi="仿宋" w:eastAsia="仿宋"/>
                <w:sz w:val="21"/>
              </w:rPr>
            </w:pPr>
          </w:p>
        </w:tc>
        <w:tc>
          <w:tcPr>
            <w:tcW w:w="1345"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电话</w:t>
            </w:r>
          </w:p>
        </w:tc>
        <w:tc>
          <w:tcPr>
            <w:tcW w:w="2709" w:type="dxa"/>
            <w:gridSpan w:val="2"/>
            <w:tcBorders>
              <w:top w:val="single" w:color="auto" w:sz="4" w:space="0"/>
              <w:left w:val="nil"/>
              <w:bottom w:val="single" w:color="auto" w:sz="4" w:space="0"/>
              <w:right w:val="single" w:color="auto" w:sz="4" w:space="0"/>
            </w:tcBorders>
            <w:vAlign w:val="center"/>
          </w:tcPr>
          <w:p>
            <w:pPr>
              <w:widowControl/>
              <w:jc w:val="left"/>
              <w:rPr>
                <w:rFonts w:ascii="Calibri" w:hAnsi="Calibri" w:cs="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sz w:val="21"/>
              </w:rPr>
            </w:pPr>
          </w:p>
        </w:tc>
        <w:tc>
          <w:tcPr>
            <w:tcW w:w="0" w:type="auto"/>
            <w:vMerge w:val="continue"/>
            <w:tcBorders>
              <w:top w:val="nil"/>
              <w:left w:val="nil"/>
              <w:bottom w:val="single" w:color="auto" w:sz="4" w:space="0"/>
              <w:right w:val="single" w:color="auto" w:sz="4" w:space="0"/>
            </w:tcBorders>
            <w:vAlign w:val="center"/>
          </w:tcPr>
          <w:p>
            <w:pPr>
              <w:widowControl/>
              <w:jc w:val="left"/>
              <w:rPr>
                <w:rFonts w:ascii="仿宋" w:hAnsi="仿宋" w:eastAsia="仿宋"/>
                <w:sz w:val="21"/>
              </w:rPr>
            </w:pPr>
          </w:p>
        </w:tc>
        <w:tc>
          <w:tcPr>
            <w:tcW w:w="1085" w:type="dxa"/>
            <w:gridSpan w:val="3"/>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电子邮箱</w:t>
            </w:r>
          </w:p>
        </w:tc>
        <w:tc>
          <w:tcPr>
            <w:tcW w:w="6321" w:type="dxa"/>
            <w:gridSpan w:val="7"/>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8"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sz w:val="21"/>
              </w:rPr>
            </w:pPr>
          </w:p>
        </w:tc>
        <w:tc>
          <w:tcPr>
            <w:tcW w:w="1081"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主要教学</w:t>
            </w:r>
          </w:p>
          <w:p>
            <w:pPr>
              <w:snapToGrid w:val="0"/>
              <w:jc w:val="center"/>
              <w:rPr>
                <w:rFonts w:ascii="仿宋" w:hAnsi="仿宋" w:eastAsia="仿宋"/>
                <w:sz w:val="21"/>
              </w:rPr>
            </w:pPr>
            <w:r>
              <w:rPr>
                <w:rFonts w:hint="eastAsia" w:ascii="仿宋" w:hAnsi="仿宋" w:eastAsia="仿宋"/>
                <w:sz w:val="21"/>
              </w:rPr>
              <w:t>工作简历</w:t>
            </w:r>
          </w:p>
        </w:tc>
        <w:tc>
          <w:tcPr>
            <w:tcW w:w="7406" w:type="dxa"/>
            <w:gridSpan w:val="10"/>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sz w:val="21"/>
              </w:rPr>
            </w:pPr>
          </w:p>
        </w:tc>
        <w:tc>
          <w:tcPr>
            <w:tcW w:w="1081" w:type="dxa"/>
            <w:vMerge w:val="restart"/>
            <w:tcBorders>
              <w:top w:val="nil"/>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主要教学</w:t>
            </w:r>
          </w:p>
          <w:p>
            <w:pPr>
              <w:snapToGrid w:val="0"/>
              <w:jc w:val="center"/>
              <w:rPr>
                <w:rFonts w:ascii="仿宋" w:hAnsi="仿宋" w:eastAsia="仿宋"/>
                <w:sz w:val="21"/>
              </w:rPr>
            </w:pPr>
            <w:r>
              <w:rPr>
                <w:rFonts w:hint="eastAsia" w:ascii="仿宋" w:hAnsi="仿宋" w:eastAsia="仿宋"/>
                <w:sz w:val="21"/>
              </w:rPr>
              <w:t>改 革 和</w:t>
            </w:r>
          </w:p>
          <w:p>
            <w:pPr>
              <w:snapToGrid w:val="0"/>
              <w:jc w:val="center"/>
              <w:rPr>
                <w:rFonts w:ascii="仿宋" w:hAnsi="仿宋" w:eastAsia="仿宋"/>
                <w:sz w:val="21"/>
              </w:rPr>
            </w:pPr>
            <w:r>
              <w:rPr>
                <w:rFonts w:hint="eastAsia" w:ascii="仿宋" w:hAnsi="仿宋" w:eastAsia="仿宋"/>
                <w:sz w:val="21"/>
              </w:rPr>
              <w:t>研究成果</w:t>
            </w:r>
          </w:p>
        </w:tc>
        <w:tc>
          <w:tcPr>
            <w:tcW w:w="1008"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时 间</w:t>
            </w:r>
          </w:p>
        </w:tc>
        <w:tc>
          <w:tcPr>
            <w:tcW w:w="1764" w:type="dxa"/>
            <w:gridSpan w:val="4"/>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项目名称</w:t>
            </w:r>
          </w:p>
        </w:tc>
        <w:tc>
          <w:tcPr>
            <w:tcW w:w="1925"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颁发部门</w:t>
            </w:r>
          </w:p>
        </w:tc>
        <w:tc>
          <w:tcPr>
            <w:tcW w:w="1412"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获奖等次</w:t>
            </w:r>
          </w:p>
        </w:tc>
        <w:tc>
          <w:tcPr>
            <w:tcW w:w="1297"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名次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sz w:val="21"/>
              </w:rPr>
            </w:pPr>
          </w:p>
        </w:tc>
        <w:tc>
          <w:tcPr>
            <w:tcW w:w="0" w:type="auto"/>
            <w:vMerge w:val="continue"/>
            <w:tcBorders>
              <w:top w:val="nil"/>
              <w:left w:val="nil"/>
              <w:bottom w:val="single" w:color="auto" w:sz="4" w:space="0"/>
              <w:right w:val="single" w:color="auto" w:sz="4" w:space="0"/>
            </w:tcBorders>
            <w:vAlign w:val="center"/>
          </w:tcPr>
          <w:p>
            <w:pPr>
              <w:widowControl/>
              <w:jc w:val="left"/>
              <w:rPr>
                <w:rFonts w:ascii="仿宋" w:hAnsi="仿宋" w:eastAsia="仿宋"/>
                <w:sz w:val="21"/>
              </w:rPr>
            </w:pPr>
          </w:p>
        </w:tc>
        <w:tc>
          <w:tcPr>
            <w:tcW w:w="1008"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764" w:type="dxa"/>
            <w:gridSpan w:val="4"/>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925"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412"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297"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sz w:val="21"/>
              </w:rPr>
            </w:pPr>
          </w:p>
        </w:tc>
        <w:tc>
          <w:tcPr>
            <w:tcW w:w="0" w:type="auto"/>
            <w:vMerge w:val="continue"/>
            <w:tcBorders>
              <w:top w:val="nil"/>
              <w:left w:val="nil"/>
              <w:bottom w:val="single" w:color="auto" w:sz="4" w:space="0"/>
              <w:right w:val="single" w:color="auto" w:sz="4" w:space="0"/>
            </w:tcBorders>
            <w:vAlign w:val="center"/>
          </w:tcPr>
          <w:p>
            <w:pPr>
              <w:widowControl/>
              <w:jc w:val="left"/>
              <w:rPr>
                <w:rFonts w:ascii="仿宋" w:hAnsi="仿宋" w:eastAsia="仿宋"/>
                <w:sz w:val="21"/>
              </w:rPr>
            </w:pPr>
          </w:p>
        </w:tc>
        <w:tc>
          <w:tcPr>
            <w:tcW w:w="1008"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764" w:type="dxa"/>
            <w:gridSpan w:val="4"/>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925"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412"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297"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sz w:val="21"/>
              </w:rPr>
            </w:pPr>
          </w:p>
        </w:tc>
        <w:tc>
          <w:tcPr>
            <w:tcW w:w="0" w:type="auto"/>
            <w:vMerge w:val="continue"/>
            <w:tcBorders>
              <w:top w:val="nil"/>
              <w:left w:val="nil"/>
              <w:bottom w:val="single" w:color="auto" w:sz="4" w:space="0"/>
              <w:right w:val="single" w:color="auto" w:sz="4" w:space="0"/>
            </w:tcBorders>
            <w:vAlign w:val="center"/>
          </w:tcPr>
          <w:p>
            <w:pPr>
              <w:widowControl/>
              <w:jc w:val="left"/>
              <w:rPr>
                <w:rFonts w:ascii="仿宋" w:hAnsi="仿宋" w:eastAsia="仿宋"/>
                <w:sz w:val="21"/>
              </w:rPr>
            </w:pPr>
          </w:p>
        </w:tc>
        <w:tc>
          <w:tcPr>
            <w:tcW w:w="1008"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764" w:type="dxa"/>
            <w:gridSpan w:val="4"/>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925"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412"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297"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sz w:val="21"/>
              </w:rPr>
            </w:pPr>
          </w:p>
        </w:tc>
        <w:tc>
          <w:tcPr>
            <w:tcW w:w="0" w:type="auto"/>
            <w:vMerge w:val="continue"/>
            <w:tcBorders>
              <w:top w:val="nil"/>
              <w:left w:val="nil"/>
              <w:bottom w:val="single" w:color="auto" w:sz="4" w:space="0"/>
              <w:right w:val="single" w:color="auto" w:sz="4" w:space="0"/>
            </w:tcBorders>
            <w:vAlign w:val="center"/>
          </w:tcPr>
          <w:p>
            <w:pPr>
              <w:widowControl/>
              <w:jc w:val="left"/>
              <w:rPr>
                <w:rFonts w:ascii="仿宋" w:hAnsi="仿宋" w:eastAsia="仿宋"/>
                <w:sz w:val="21"/>
              </w:rPr>
            </w:pPr>
          </w:p>
        </w:tc>
        <w:tc>
          <w:tcPr>
            <w:tcW w:w="1008"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764" w:type="dxa"/>
            <w:gridSpan w:val="4"/>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925"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412"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297"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sz w:val="21"/>
              </w:rPr>
            </w:pPr>
          </w:p>
        </w:tc>
        <w:tc>
          <w:tcPr>
            <w:tcW w:w="0" w:type="auto"/>
            <w:vMerge w:val="continue"/>
            <w:tcBorders>
              <w:top w:val="nil"/>
              <w:left w:val="nil"/>
              <w:bottom w:val="single" w:color="auto" w:sz="4" w:space="0"/>
              <w:right w:val="single" w:color="auto" w:sz="4" w:space="0"/>
            </w:tcBorders>
            <w:vAlign w:val="center"/>
          </w:tcPr>
          <w:p>
            <w:pPr>
              <w:widowControl/>
              <w:jc w:val="left"/>
              <w:rPr>
                <w:rFonts w:ascii="仿宋" w:hAnsi="仿宋" w:eastAsia="仿宋"/>
                <w:sz w:val="21"/>
              </w:rPr>
            </w:pPr>
          </w:p>
        </w:tc>
        <w:tc>
          <w:tcPr>
            <w:tcW w:w="1008"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764" w:type="dxa"/>
            <w:gridSpan w:val="4"/>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925"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412"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297"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573" w:type="dxa"/>
            <w:vMerge w:val="restart"/>
            <w:tcBorders>
              <w:top w:val="nil"/>
              <w:left w:val="single" w:color="auto" w:sz="4" w:space="0"/>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项</w:t>
            </w:r>
          </w:p>
          <w:p>
            <w:pPr>
              <w:snapToGrid w:val="0"/>
              <w:jc w:val="center"/>
              <w:rPr>
                <w:rFonts w:ascii="仿宋" w:hAnsi="仿宋" w:eastAsia="仿宋"/>
                <w:sz w:val="21"/>
              </w:rPr>
            </w:pPr>
            <w:r>
              <w:rPr>
                <w:rFonts w:hint="eastAsia" w:ascii="仿宋" w:hAnsi="仿宋" w:eastAsia="仿宋"/>
                <w:sz w:val="21"/>
              </w:rPr>
              <w:t>目</w:t>
            </w:r>
          </w:p>
          <w:p>
            <w:pPr>
              <w:snapToGrid w:val="0"/>
              <w:jc w:val="center"/>
              <w:rPr>
                <w:rFonts w:ascii="仿宋" w:hAnsi="仿宋" w:eastAsia="仿宋"/>
                <w:sz w:val="21"/>
              </w:rPr>
            </w:pPr>
            <w:r>
              <w:rPr>
                <w:rFonts w:hint="eastAsia" w:ascii="仿宋" w:hAnsi="仿宋" w:eastAsia="仿宋"/>
                <w:sz w:val="21"/>
              </w:rPr>
              <w:t>组</w:t>
            </w:r>
          </w:p>
        </w:tc>
        <w:tc>
          <w:tcPr>
            <w:tcW w:w="1081" w:type="dxa"/>
            <w:vMerge w:val="restart"/>
            <w:tcBorders>
              <w:top w:val="nil"/>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主要成员</w:t>
            </w:r>
          </w:p>
        </w:tc>
        <w:tc>
          <w:tcPr>
            <w:tcW w:w="814"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姓名</w:t>
            </w:r>
          </w:p>
        </w:tc>
        <w:tc>
          <w:tcPr>
            <w:tcW w:w="730" w:type="dxa"/>
            <w:gridSpan w:val="3"/>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出生</w:t>
            </w:r>
          </w:p>
          <w:p>
            <w:pPr>
              <w:snapToGrid w:val="0"/>
              <w:jc w:val="center"/>
              <w:rPr>
                <w:rFonts w:ascii="仿宋" w:hAnsi="仿宋" w:eastAsia="仿宋"/>
                <w:sz w:val="21"/>
              </w:rPr>
            </w:pPr>
            <w:r>
              <w:rPr>
                <w:rFonts w:hint="eastAsia" w:ascii="仿宋" w:hAnsi="仿宋" w:eastAsia="仿宋"/>
                <w:sz w:val="21"/>
              </w:rPr>
              <w:t>年月</w:t>
            </w:r>
          </w:p>
        </w:tc>
        <w:tc>
          <w:tcPr>
            <w:tcW w:w="1228"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职称</w:t>
            </w:r>
          </w:p>
        </w:tc>
        <w:tc>
          <w:tcPr>
            <w:tcW w:w="1925"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工作单位</w:t>
            </w:r>
          </w:p>
        </w:tc>
        <w:tc>
          <w:tcPr>
            <w:tcW w:w="1412"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r>
              <w:rPr>
                <w:rFonts w:hint="eastAsia" w:ascii="仿宋" w:hAnsi="仿宋" w:eastAsia="仿宋"/>
                <w:sz w:val="21"/>
              </w:rPr>
              <w:t>分工</w:t>
            </w:r>
          </w:p>
        </w:tc>
        <w:tc>
          <w:tcPr>
            <w:tcW w:w="1297" w:type="dxa"/>
            <w:tcBorders>
              <w:top w:val="single" w:color="auto" w:sz="4" w:space="0"/>
              <w:left w:val="nil"/>
              <w:bottom w:val="single" w:color="auto" w:sz="4" w:space="0"/>
              <w:right w:val="single" w:color="auto" w:sz="4" w:space="0"/>
            </w:tcBorders>
            <w:vAlign w:val="center"/>
          </w:tcPr>
          <w:p>
            <w:pPr>
              <w:widowControl/>
              <w:jc w:val="center"/>
              <w:rPr>
                <w:rFonts w:ascii="Calibri" w:hAnsi="Calibri" w:cs="宋体"/>
                <w:kern w:val="0"/>
                <w:sz w:val="21"/>
              </w:rPr>
            </w:pPr>
            <w:r>
              <w:rPr>
                <w:rFonts w:hint="eastAsia" w:ascii="仿宋" w:hAnsi="仿宋" w:eastAsia="仿宋"/>
                <w:sz w:val="21"/>
              </w:rPr>
              <w:t>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sz w:val="21"/>
              </w:rPr>
            </w:pPr>
          </w:p>
        </w:tc>
        <w:tc>
          <w:tcPr>
            <w:tcW w:w="0" w:type="auto"/>
            <w:vMerge w:val="continue"/>
            <w:tcBorders>
              <w:top w:val="nil"/>
              <w:left w:val="nil"/>
              <w:bottom w:val="single" w:color="auto" w:sz="4" w:space="0"/>
              <w:right w:val="single" w:color="auto" w:sz="4" w:space="0"/>
            </w:tcBorders>
            <w:vAlign w:val="center"/>
          </w:tcPr>
          <w:p>
            <w:pPr>
              <w:widowControl/>
              <w:jc w:val="left"/>
              <w:rPr>
                <w:rFonts w:ascii="仿宋" w:hAnsi="仿宋" w:eastAsia="仿宋"/>
                <w:sz w:val="21"/>
              </w:rPr>
            </w:pPr>
          </w:p>
        </w:tc>
        <w:tc>
          <w:tcPr>
            <w:tcW w:w="814"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730" w:type="dxa"/>
            <w:gridSpan w:val="3"/>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228"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925"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412"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297" w:type="dxa"/>
            <w:tcBorders>
              <w:top w:val="single" w:color="auto" w:sz="4" w:space="0"/>
              <w:left w:val="nil"/>
              <w:bottom w:val="single" w:color="auto" w:sz="4" w:space="0"/>
              <w:right w:val="single" w:color="auto" w:sz="4" w:space="0"/>
            </w:tcBorders>
            <w:vAlign w:val="center"/>
          </w:tcPr>
          <w:p>
            <w:pPr>
              <w:widowControl/>
              <w:jc w:val="left"/>
              <w:rPr>
                <w:rFonts w:ascii="Calibri" w:hAnsi="Calibri" w:cs="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sz w:val="21"/>
              </w:rPr>
            </w:pPr>
          </w:p>
        </w:tc>
        <w:tc>
          <w:tcPr>
            <w:tcW w:w="0" w:type="auto"/>
            <w:vMerge w:val="continue"/>
            <w:tcBorders>
              <w:top w:val="nil"/>
              <w:left w:val="nil"/>
              <w:bottom w:val="single" w:color="auto" w:sz="4" w:space="0"/>
              <w:right w:val="single" w:color="auto" w:sz="4" w:space="0"/>
            </w:tcBorders>
            <w:vAlign w:val="center"/>
          </w:tcPr>
          <w:p>
            <w:pPr>
              <w:widowControl/>
              <w:jc w:val="left"/>
              <w:rPr>
                <w:rFonts w:ascii="仿宋" w:hAnsi="仿宋" w:eastAsia="仿宋"/>
                <w:sz w:val="21"/>
              </w:rPr>
            </w:pPr>
          </w:p>
        </w:tc>
        <w:tc>
          <w:tcPr>
            <w:tcW w:w="814"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730" w:type="dxa"/>
            <w:gridSpan w:val="3"/>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228" w:type="dxa"/>
            <w:gridSpan w:val="2"/>
            <w:tcBorders>
              <w:top w:val="single" w:color="auto" w:sz="4" w:space="0"/>
              <w:left w:val="nil"/>
              <w:bottom w:val="single" w:color="auto" w:sz="4" w:space="0"/>
              <w:right w:val="single" w:color="auto" w:sz="4" w:space="0"/>
            </w:tcBorders>
            <w:vAlign w:val="center"/>
          </w:tcPr>
          <w:p>
            <w:pPr>
              <w:pStyle w:val="9"/>
              <w:widowControl w:val="0"/>
              <w:snapToGrid w:val="0"/>
              <w:spacing w:before="0" w:after="0"/>
              <w:jc w:val="center"/>
              <w:rPr>
                <w:rFonts w:ascii="仿宋" w:hAnsi="仿宋" w:eastAsia="仿宋"/>
                <w:sz w:val="21"/>
              </w:rPr>
            </w:pPr>
          </w:p>
        </w:tc>
        <w:tc>
          <w:tcPr>
            <w:tcW w:w="1925" w:type="dxa"/>
            <w:gridSpan w:val="2"/>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412" w:type="dxa"/>
            <w:tcBorders>
              <w:top w:val="single" w:color="auto" w:sz="4" w:space="0"/>
              <w:left w:val="nil"/>
              <w:bottom w:val="single" w:color="auto" w:sz="4" w:space="0"/>
              <w:right w:val="single" w:color="auto" w:sz="4" w:space="0"/>
            </w:tcBorders>
            <w:vAlign w:val="center"/>
          </w:tcPr>
          <w:p>
            <w:pPr>
              <w:snapToGrid w:val="0"/>
              <w:jc w:val="center"/>
              <w:rPr>
                <w:rFonts w:ascii="仿宋" w:hAnsi="仿宋" w:eastAsia="仿宋"/>
                <w:sz w:val="21"/>
              </w:rPr>
            </w:pPr>
          </w:p>
        </w:tc>
        <w:tc>
          <w:tcPr>
            <w:tcW w:w="1297" w:type="dxa"/>
            <w:tcBorders>
              <w:top w:val="single" w:color="auto" w:sz="4" w:space="0"/>
              <w:left w:val="nil"/>
              <w:bottom w:val="single" w:color="auto" w:sz="4" w:space="0"/>
            </w:tcBorders>
            <w:vAlign w:val="center"/>
          </w:tcPr>
          <w:p>
            <w:pPr>
              <w:widowControl/>
              <w:jc w:val="left"/>
              <w:rPr>
                <w:rFonts w:ascii="Calibri" w:hAnsi="Calibri" w:cs="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sz w:val="21"/>
              </w:rPr>
            </w:pPr>
          </w:p>
        </w:tc>
        <w:tc>
          <w:tcPr>
            <w:tcW w:w="0" w:type="auto"/>
            <w:vMerge w:val="continue"/>
            <w:tcBorders>
              <w:top w:val="nil"/>
              <w:left w:val="nil"/>
              <w:bottom w:val="single" w:color="auto" w:sz="4" w:space="0"/>
              <w:right w:val="single" w:color="auto" w:sz="4" w:space="0"/>
            </w:tcBorders>
            <w:vAlign w:val="center"/>
          </w:tcPr>
          <w:p>
            <w:pPr>
              <w:widowControl/>
              <w:jc w:val="left"/>
              <w:rPr>
                <w:rFonts w:ascii="仿宋" w:hAnsi="仿宋" w:eastAsia="仿宋"/>
                <w:sz w:val="21"/>
              </w:rPr>
            </w:pPr>
          </w:p>
        </w:tc>
        <w:tc>
          <w:tcPr>
            <w:tcW w:w="814" w:type="dxa"/>
            <w:tcBorders>
              <w:top w:val="single" w:color="auto" w:sz="4" w:space="0"/>
              <w:left w:val="nil"/>
              <w:bottom w:val="single" w:color="auto" w:sz="4" w:space="0"/>
              <w:right w:val="single" w:color="auto" w:sz="4" w:space="0"/>
            </w:tcBorders>
            <w:vAlign w:val="center"/>
          </w:tcPr>
          <w:p>
            <w:pPr>
              <w:snapToGrid w:val="0"/>
              <w:spacing w:line="544" w:lineRule="atLeast"/>
              <w:jc w:val="center"/>
              <w:rPr>
                <w:rFonts w:ascii="仿宋" w:hAnsi="仿宋" w:eastAsia="仿宋"/>
                <w:sz w:val="21"/>
              </w:rPr>
            </w:pPr>
          </w:p>
        </w:tc>
        <w:tc>
          <w:tcPr>
            <w:tcW w:w="730" w:type="dxa"/>
            <w:gridSpan w:val="3"/>
            <w:tcBorders>
              <w:top w:val="single" w:color="auto" w:sz="4" w:space="0"/>
              <w:left w:val="nil"/>
              <w:bottom w:val="single" w:color="auto" w:sz="4" w:space="0"/>
              <w:right w:val="single" w:color="auto" w:sz="4" w:space="0"/>
            </w:tcBorders>
            <w:vAlign w:val="center"/>
          </w:tcPr>
          <w:p>
            <w:pPr>
              <w:snapToGrid w:val="0"/>
              <w:spacing w:line="544" w:lineRule="atLeast"/>
              <w:jc w:val="center"/>
              <w:rPr>
                <w:rFonts w:ascii="仿宋" w:hAnsi="仿宋" w:eastAsia="仿宋"/>
                <w:sz w:val="21"/>
              </w:rPr>
            </w:pPr>
          </w:p>
        </w:tc>
        <w:tc>
          <w:tcPr>
            <w:tcW w:w="1228" w:type="dxa"/>
            <w:gridSpan w:val="2"/>
            <w:tcBorders>
              <w:top w:val="single" w:color="auto" w:sz="4" w:space="0"/>
              <w:left w:val="nil"/>
              <w:bottom w:val="single" w:color="auto" w:sz="4" w:space="0"/>
              <w:right w:val="single" w:color="auto" w:sz="4" w:space="0"/>
            </w:tcBorders>
            <w:vAlign w:val="center"/>
          </w:tcPr>
          <w:p>
            <w:pPr>
              <w:snapToGrid w:val="0"/>
              <w:spacing w:line="544" w:lineRule="atLeast"/>
              <w:jc w:val="center"/>
              <w:rPr>
                <w:rFonts w:ascii="仿宋" w:hAnsi="仿宋" w:eastAsia="仿宋"/>
                <w:sz w:val="21"/>
              </w:rPr>
            </w:pPr>
          </w:p>
        </w:tc>
        <w:tc>
          <w:tcPr>
            <w:tcW w:w="1925" w:type="dxa"/>
            <w:gridSpan w:val="2"/>
            <w:tcBorders>
              <w:top w:val="single" w:color="auto" w:sz="4" w:space="0"/>
              <w:left w:val="nil"/>
              <w:bottom w:val="single" w:color="auto" w:sz="4" w:space="0"/>
              <w:right w:val="single" w:color="auto" w:sz="4" w:space="0"/>
            </w:tcBorders>
            <w:vAlign w:val="center"/>
          </w:tcPr>
          <w:p>
            <w:pPr>
              <w:snapToGrid w:val="0"/>
              <w:spacing w:line="544" w:lineRule="atLeast"/>
              <w:jc w:val="center"/>
              <w:rPr>
                <w:rFonts w:ascii="仿宋" w:hAnsi="仿宋" w:eastAsia="仿宋"/>
                <w:sz w:val="21"/>
              </w:rPr>
            </w:pPr>
          </w:p>
        </w:tc>
        <w:tc>
          <w:tcPr>
            <w:tcW w:w="1412" w:type="dxa"/>
            <w:tcBorders>
              <w:top w:val="single" w:color="auto" w:sz="4" w:space="0"/>
              <w:left w:val="nil"/>
              <w:bottom w:val="single" w:color="auto" w:sz="4" w:space="0"/>
              <w:right w:val="single" w:color="auto" w:sz="4" w:space="0"/>
            </w:tcBorders>
            <w:vAlign w:val="center"/>
          </w:tcPr>
          <w:p>
            <w:pPr>
              <w:snapToGrid w:val="0"/>
              <w:spacing w:line="544" w:lineRule="atLeast"/>
              <w:jc w:val="center"/>
              <w:rPr>
                <w:rFonts w:ascii="仿宋" w:hAnsi="仿宋" w:eastAsia="仿宋"/>
                <w:sz w:val="21"/>
              </w:rPr>
            </w:pPr>
          </w:p>
        </w:tc>
        <w:tc>
          <w:tcPr>
            <w:tcW w:w="1297" w:type="dxa"/>
            <w:tcBorders>
              <w:top w:val="single" w:color="auto" w:sz="4" w:space="0"/>
              <w:left w:val="nil"/>
              <w:bottom w:val="single" w:color="auto" w:sz="4" w:space="0"/>
              <w:right w:val="single" w:color="auto" w:sz="4" w:space="0"/>
            </w:tcBorders>
            <w:vAlign w:val="center"/>
          </w:tcPr>
          <w:p>
            <w:pPr>
              <w:widowControl/>
              <w:jc w:val="left"/>
              <w:rPr>
                <w:rFonts w:ascii="Calibri" w:hAnsi="Calibri" w:cs="宋体"/>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sz w:val="21"/>
              </w:rPr>
            </w:pPr>
          </w:p>
        </w:tc>
        <w:tc>
          <w:tcPr>
            <w:tcW w:w="0" w:type="auto"/>
            <w:vMerge w:val="continue"/>
            <w:tcBorders>
              <w:top w:val="nil"/>
              <w:left w:val="nil"/>
              <w:bottom w:val="single" w:color="auto" w:sz="4" w:space="0"/>
              <w:right w:val="single" w:color="auto" w:sz="4" w:space="0"/>
            </w:tcBorders>
            <w:vAlign w:val="center"/>
          </w:tcPr>
          <w:p>
            <w:pPr>
              <w:widowControl/>
              <w:jc w:val="left"/>
              <w:rPr>
                <w:rFonts w:ascii="仿宋" w:hAnsi="仿宋" w:eastAsia="仿宋"/>
                <w:sz w:val="21"/>
              </w:rPr>
            </w:pPr>
          </w:p>
        </w:tc>
        <w:tc>
          <w:tcPr>
            <w:tcW w:w="814" w:type="dxa"/>
            <w:tcBorders>
              <w:top w:val="single" w:color="auto" w:sz="4" w:space="0"/>
              <w:left w:val="nil"/>
              <w:bottom w:val="single" w:color="auto" w:sz="4" w:space="0"/>
              <w:right w:val="single" w:color="auto" w:sz="4" w:space="0"/>
            </w:tcBorders>
            <w:vAlign w:val="center"/>
          </w:tcPr>
          <w:p>
            <w:pPr>
              <w:snapToGrid w:val="0"/>
              <w:spacing w:line="544" w:lineRule="atLeast"/>
              <w:jc w:val="center"/>
              <w:rPr>
                <w:rFonts w:ascii="仿宋" w:hAnsi="仿宋" w:eastAsia="仿宋"/>
                <w:sz w:val="21"/>
              </w:rPr>
            </w:pPr>
          </w:p>
        </w:tc>
        <w:tc>
          <w:tcPr>
            <w:tcW w:w="730" w:type="dxa"/>
            <w:gridSpan w:val="3"/>
            <w:tcBorders>
              <w:top w:val="single" w:color="auto" w:sz="4" w:space="0"/>
              <w:left w:val="nil"/>
              <w:bottom w:val="single" w:color="auto" w:sz="4" w:space="0"/>
              <w:right w:val="single" w:color="auto" w:sz="4" w:space="0"/>
            </w:tcBorders>
            <w:vAlign w:val="center"/>
          </w:tcPr>
          <w:p>
            <w:pPr>
              <w:snapToGrid w:val="0"/>
              <w:spacing w:line="544" w:lineRule="atLeast"/>
              <w:jc w:val="center"/>
              <w:rPr>
                <w:rFonts w:ascii="仿宋" w:hAnsi="仿宋" w:eastAsia="仿宋"/>
                <w:sz w:val="21"/>
              </w:rPr>
            </w:pPr>
          </w:p>
        </w:tc>
        <w:tc>
          <w:tcPr>
            <w:tcW w:w="1228" w:type="dxa"/>
            <w:gridSpan w:val="2"/>
            <w:tcBorders>
              <w:top w:val="single" w:color="auto" w:sz="4" w:space="0"/>
              <w:left w:val="nil"/>
              <w:bottom w:val="single" w:color="auto" w:sz="4" w:space="0"/>
              <w:right w:val="single" w:color="auto" w:sz="4" w:space="0"/>
            </w:tcBorders>
            <w:vAlign w:val="center"/>
          </w:tcPr>
          <w:p>
            <w:pPr>
              <w:snapToGrid w:val="0"/>
              <w:spacing w:line="544" w:lineRule="atLeast"/>
              <w:jc w:val="center"/>
              <w:rPr>
                <w:rFonts w:ascii="仿宋" w:hAnsi="仿宋" w:eastAsia="仿宋"/>
                <w:sz w:val="21"/>
              </w:rPr>
            </w:pPr>
          </w:p>
        </w:tc>
        <w:tc>
          <w:tcPr>
            <w:tcW w:w="1925" w:type="dxa"/>
            <w:gridSpan w:val="2"/>
            <w:tcBorders>
              <w:top w:val="single" w:color="auto" w:sz="4" w:space="0"/>
              <w:left w:val="nil"/>
              <w:bottom w:val="single" w:color="auto" w:sz="4" w:space="0"/>
              <w:right w:val="single" w:color="auto" w:sz="4" w:space="0"/>
            </w:tcBorders>
            <w:vAlign w:val="center"/>
          </w:tcPr>
          <w:p>
            <w:pPr>
              <w:snapToGrid w:val="0"/>
              <w:spacing w:line="544" w:lineRule="atLeast"/>
              <w:jc w:val="center"/>
              <w:rPr>
                <w:rFonts w:ascii="仿宋" w:hAnsi="仿宋" w:eastAsia="仿宋"/>
                <w:sz w:val="21"/>
              </w:rPr>
            </w:pPr>
          </w:p>
        </w:tc>
        <w:tc>
          <w:tcPr>
            <w:tcW w:w="1412" w:type="dxa"/>
            <w:tcBorders>
              <w:top w:val="single" w:color="auto" w:sz="4" w:space="0"/>
              <w:left w:val="nil"/>
              <w:bottom w:val="single" w:color="auto" w:sz="4" w:space="0"/>
              <w:right w:val="single" w:color="auto" w:sz="4" w:space="0"/>
            </w:tcBorders>
            <w:vAlign w:val="center"/>
          </w:tcPr>
          <w:p>
            <w:pPr>
              <w:snapToGrid w:val="0"/>
              <w:spacing w:line="544" w:lineRule="atLeast"/>
              <w:jc w:val="center"/>
              <w:rPr>
                <w:rFonts w:ascii="仿宋" w:hAnsi="仿宋" w:eastAsia="仿宋"/>
                <w:sz w:val="21"/>
              </w:rPr>
            </w:pPr>
          </w:p>
        </w:tc>
        <w:tc>
          <w:tcPr>
            <w:tcW w:w="1297" w:type="dxa"/>
            <w:tcBorders>
              <w:top w:val="single" w:color="auto" w:sz="4" w:space="0"/>
              <w:left w:val="nil"/>
              <w:bottom w:val="single" w:color="auto" w:sz="4" w:space="0"/>
              <w:right w:val="single" w:color="auto" w:sz="4" w:space="0"/>
            </w:tcBorders>
            <w:vAlign w:val="center"/>
          </w:tcPr>
          <w:p>
            <w:pPr>
              <w:widowControl/>
              <w:jc w:val="left"/>
              <w:rPr>
                <w:rFonts w:ascii="Calibri" w:hAnsi="Calibri" w:cs="宋体"/>
                <w:kern w:val="0"/>
                <w:sz w:val="21"/>
              </w:rPr>
            </w:pPr>
          </w:p>
        </w:tc>
      </w:tr>
    </w:tbl>
    <w:p>
      <w:pPr>
        <w:rPr>
          <w:rFonts w:ascii="黑体" w:hAnsi="黑体" w:eastAsia="黑体"/>
          <w:sz w:val="30"/>
          <w:szCs w:val="30"/>
        </w:rPr>
      </w:pPr>
      <w:r>
        <w:rPr>
          <w:rFonts w:hint="eastAsia" w:ascii="黑体" w:hAnsi="黑体" w:eastAsia="黑体"/>
          <w:sz w:val="30"/>
          <w:szCs w:val="30"/>
        </w:rPr>
        <w:t>二、立项依据：（项目的意义、现状分析）</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8" w:hRule="atLeast"/>
          <w:jc w:val="center"/>
        </w:trPr>
        <w:tc>
          <w:tcPr>
            <w:tcW w:w="8940" w:type="dxa"/>
            <w:tcBorders>
              <w:top w:val="single" w:color="auto" w:sz="4" w:space="0"/>
              <w:left w:val="single" w:color="000000" w:sz="2" w:space="0"/>
              <w:bottom w:val="single" w:color="000000" w:sz="2" w:space="0"/>
              <w:right w:val="single" w:color="000000" w:sz="2" w:space="0"/>
            </w:tcBorders>
          </w:tcPr>
          <w:p>
            <w:pPr>
              <w:ind w:firstLine="316" w:firstLineChars="100"/>
              <w:jc w:val="left"/>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rPr>
                <w:sz w:val="28"/>
                <w:szCs w:val="28"/>
              </w:rPr>
            </w:pPr>
          </w:p>
          <w:p>
            <w:pPr>
              <w:jc w:val="left"/>
            </w:pPr>
          </w:p>
        </w:tc>
      </w:tr>
    </w:tbl>
    <w:p>
      <w:pPr>
        <w:rPr>
          <w:rFonts w:ascii="黑体" w:hAnsi="黑体" w:eastAsia="黑体"/>
          <w:szCs w:val="32"/>
        </w:rPr>
      </w:pPr>
      <w:r>
        <w:rPr>
          <w:rFonts w:hint="eastAsia" w:ascii="黑体" w:hAnsi="黑体" w:eastAsia="黑体"/>
          <w:szCs w:val="32"/>
        </w:rPr>
        <w:t>三、项目实施方案及实施计划</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0" w:hRule="atLeast"/>
          <w:jc w:val="center"/>
        </w:trPr>
        <w:tc>
          <w:tcPr>
            <w:tcW w:w="8829" w:type="dxa"/>
            <w:tcBorders>
              <w:top w:val="single" w:color="000000" w:sz="2" w:space="0"/>
              <w:left w:val="single" w:color="000000" w:sz="2" w:space="0"/>
              <w:bottom w:val="single" w:color="000000" w:sz="2" w:space="0"/>
              <w:right w:val="single" w:color="000000" w:sz="2" w:space="0"/>
            </w:tcBorders>
          </w:tcPr>
          <w:p>
            <w:pPr>
              <w:ind w:firstLine="236" w:firstLineChars="100"/>
              <w:jc w:val="left"/>
              <w:rPr>
                <w:sz w:val="24"/>
                <w:szCs w:val="24"/>
              </w:rPr>
            </w:pPr>
            <w:r>
              <w:rPr>
                <w:rFonts w:hint="eastAsia" w:ascii="仿宋" w:hAnsi="仿宋" w:eastAsia="仿宋"/>
                <w:sz w:val="24"/>
                <w:szCs w:val="24"/>
              </w:rPr>
              <w:t>1.具体改革内容、改革目标和拟解决的关键问题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3" w:hRule="atLeast"/>
          <w:jc w:val="center"/>
        </w:trPr>
        <w:tc>
          <w:tcPr>
            <w:tcW w:w="8829" w:type="dxa"/>
            <w:tcBorders>
              <w:top w:val="single" w:color="000000" w:sz="2" w:space="0"/>
              <w:left w:val="single" w:color="000000" w:sz="2" w:space="0"/>
              <w:bottom w:val="single" w:color="000000" w:sz="2" w:space="0"/>
              <w:right w:val="single" w:color="000000" w:sz="2" w:space="0"/>
            </w:tcBorders>
          </w:tcPr>
          <w:p>
            <w:pPr>
              <w:ind w:firstLine="236" w:firstLineChars="100"/>
              <w:jc w:val="left"/>
              <w:rPr>
                <w:rFonts w:ascii="仿宋" w:hAnsi="仿宋" w:eastAsia="仿宋"/>
                <w:sz w:val="24"/>
                <w:szCs w:val="24"/>
              </w:rPr>
            </w:pPr>
            <w:r>
              <w:rPr>
                <w:rFonts w:hint="eastAsia" w:ascii="仿宋" w:hAnsi="仿宋" w:eastAsia="仿宋"/>
                <w:sz w:val="24"/>
                <w:szCs w:val="24"/>
              </w:rPr>
              <w:t>2.实施方案、实施方法、具体实施计划（含年度进展情况）及可行性分析</w:t>
            </w:r>
          </w:p>
          <w:p>
            <w:pPr>
              <w:ind w:firstLine="236" w:firstLineChars="100"/>
              <w:jc w:val="left"/>
              <w:rPr>
                <w:rFonts w:ascii="仿宋" w:hAnsi="仿宋" w:eastAsia="仿宋"/>
                <w:sz w:val="24"/>
                <w:szCs w:val="24"/>
              </w:rPr>
            </w:pPr>
          </w:p>
          <w:p>
            <w:pPr>
              <w:ind w:firstLine="236" w:firstLineChars="100"/>
              <w:jc w:val="left"/>
              <w:rPr>
                <w:rFonts w:ascii="仿宋" w:hAnsi="仿宋" w:eastAsia="仿宋"/>
                <w:sz w:val="24"/>
                <w:szCs w:val="24"/>
              </w:rPr>
            </w:pPr>
          </w:p>
          <w:p>
            <w:pPr>
              <w:ind w:firstLine="236" w:firstLineChars="100"/>
              <w:jc w:val="left"/>
              <w:rPr>
                <w:rFonts w:ascii="仿宋" w:hAnsi="仿宋" w:eastAsia="仿宋"/>
                <w:sz w:val="24"/>
                <w:szCs w:val="24"/>
              </w:rPr>
            </w:pPr>
          </w:p>
          <w:p>
            <w:pPr>
              <w:ind w:firstLine="236" w:firstLineChars="100"/>
              <w:jc w:val="left"/>
              <w:rPr>
                <w:rFonts w:ascii="仿宋" w:hAnsi="仿宋" w:eastAsia="仿宋"/>
                <w:sz w:val="24"/>
                <w:szCs w:val="24"/>
              </w:rPr>
            </w:pPr>
          </w:p>
          <w:p>
            <w:pPr>
              <w:ind w:firstLine="236" w:firstLineChars="100"/>
              <w:jc w:val="left"/>
              <w:rPr>
                <w:rFonts w:ascii="仿宋" w:hAnsi="仿宋" w:eastAsia="仿宋"/>
                <w:sz w:val="24"/>
                <w:szCs w:val="24"/>
              </w:rPr>
            </w:pPr>
          </w:p>
          <w:p>
            <w:pPr>
              <w:ind w:firstLine="236" w:firstLineChars="100"/>
              <w:jc w:val="left"/>
              <w:rPr>
                <w:rFonts w:ascii="仿宋" w:hAnsi="仿宋" w:eastAsia="仿宋"/>
                <w:sz w:val="24"/>
                <w:szCs w:val="24"/>
              </w:rPr>
            </w:pPr>
          </w:p>
          <w:p>
            <w:pPr>
              <w:ind w:firstLine="236" w:firstLineChars="100"/>
              <w:jc w:val="left"/>
              <w:rPr>
                <w:rFonts w:ascii="仿宋" w:hAnsi="仿宋" w:eastAsia="仿宋"/>
                <w:sz w:val="24"/>
                <w:szCs w:val="24"/>
              </w:rPr>
            </w:pPr>
          </w:p>
          <w:p>
            <w:pPr>
              <w:ind w:firstLine="236" w:firstLineChars="100"/>
              <w:jc w:val="left"/>
              <w:rPr>
                <w:rFonts w:ascii="仿宋" w:hAnsi="仿宋" w:eastAsia="仿宋"/>
                <w:sz w:val="24"/>
                <w:szCs w:val="24"/>
              </w:rPr>
            </w:pPr>
          </w:p>
          <w:p>
            <w:pPr>
              <w:ind w:firstLine="236" w:firstLineChars="100"/>
              <w:jc w:val="left"/>
              <w:rPr>
                <w:rFonts w:ascii="仿宋" w:hAnsi="仿宋" w:eastAsia="仿宋"/>
                <w:sz w:val="24"/>
                <w:szCs w:val="24"/>
              </w:rPr>
            </w:pPr>
          </w:p>
          <w:p>
            <w:pPr>
              <w:ind w:firstLine="316" w:firstLineChars="100"/>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90" w:hRule="atLeast"/>
          <w:jc w:val="center"/>
        </w:trPr>
        <w:tc>
          <w:tcPr>
            <w:tcW w:w="8829" w:type="dxa"/>
            <w:tcBorders>
              <w:top w:val="single" w:color="000000" w:sz="2" w:space="0"/>
              <w:left w:val="single" w:color="000000" w:sz="2" w:space="0"/>
              <w:bottom w:val="single" w:color="000000" w:sz="2" w:space="0"/>
              <w:right w:val="single" w:color="000000" w:sz="2" w:space="0"/>
            </w:tcBorders>
          </w:tcPr>
          <w:p>
            <w:pPr>
              <w:ind w:firstLine="236" w:firstLineChars="100"/>
              <w:jc w:val="left"/>
              <w:rPr>
                <w:sz w:val="24"/>
                <w:szCs w:val="24"/>
              </w:rPr>
            </w:pPr>
            <w:r>
              <w:rPr>
                <w:rFonts w:hint="eastAsia" w:ascii="仿宋" w:hAnsi="仿宋" w:eastAsia="仿宋"/>
                <w:sz w:val="24"/>
                <w:szCs w:val="24"/>
              </w:rPr>
              <w:t>3.项目预期的成果和效果（包括成果形式、实施范围、受益学生数等）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73" w:hRule="atLeast"/>
          <w:jc w:val="center"/>
        </w:trPr>
        <w:tc>
          <w:tcPr>
            <w:tcW w:w="8829" w:type="dxa"/>
            <w:tcBorders>
              <w:top w:val="single" w:color="000000" w:sz="2" w:space="0"/>
              <w:left w:val="single" w:color="000000" w:sz="2" w:space="0"/>
              <w:bottom w:val="single" w:color="000000" w:sz="2" w:space="0"/>
              <w:right w:val="single" w:color="000000" w:sz="2" w:space="0"/>
            </w:tcBorders>
          </w:tcPr>
          <w:p>
            <w:pPr>
              <w:ind w:firstLine="236" w:firstLineChars="100"/>
              <w:jc w:val="left"/>
              <w:rPr>
                <w:sz w:val="24"/>
                <w:szCs w:val="24"/>
              </w:rPr>
            </w:pPr>
            <w:r>
              <w:rPr>
                <w:rFonts w:hint="eastAsia" w:ascii="仿宋" w:hAnsi="仿宋" w:eastAsia="仿宋"/>
                <w:sz w:val="24"/>
                <w:szCs w:val="24"/>
              </w:rPr>
              <w:t>4.本项目的特色与创新之处</w:t>
            </w:r>
          </w:p>
        </w:tc>
      </w:tr>
    </w:tbl>
    <w:p>
      <w:pPr>
        <w:rPr>
          <w:rFonts w:ascii="黑体" w:eastAsia="黑体"/>
          <w:sz w:val="30"/>
          <w:szCs w:val="30"/>
        </w:rPr>
      </w:pPr>
      <w:r>
        <w:rPr>
          <w:rFonts w:hint="eastAsia" w:ascii="黑体" w:hAnsi="黑体" w:eastAsia="黑体"/>
          <w:sz w:val="30"/>
          <w:szCs w:val="30"/>
        </w:rPr>
        <w:t>四、教学改革基础</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2" w:hRule="atLeast"/>
          <w:jc w:val="center"/>
        </w:trPr>
        <w:tc>
          <w:tcPr>
            <w:tcW w:w="8829" w:type="dxa"/>
            <w:tcBorders>
              <w:top w:val="single" w:color="000000" w:sz="2" w:space="0"/>
              <w:left w:val="single" w:color="000000" w:sz="2" w:space="0"/>
              <w:bottom w:val="single" w:color="000000" w:sz="2" w:space="0"/>
              <w:right w:val="single" w:color="000000" w:sz="2" w:space="0"/>
            </w:tcBorders>
          </w:tcPr>
          <w:p>
            <w:pPr>
              <w:ind w:firstLine="236" w:firstLineChars="100"/>
              <w:jc w:val="left"/>
              <w:rPr>
                <w:sz w:val="24"/>
                <w:szCs w:val="24"/>
              </w:rPr>
            </w:pPr>
            <w:r>
              <w:rPr>
                <w:rFonts w:hint="eastAsia" w:ascii="仿宋" w:hAnsi="仿宋" w:eastAsia="仿宋"/>
                <w:sz w:val="24"/>
                <w:szCs w:val="24"/>
              </w:rPr>
              <w:t>1.与本项目有关的教学改革工作积累和已取得的教学改革工作成绩（成绩须注明时间、颁发部门、获奖等次、名次等详细信息）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0" w:hRule="atLeast"/>
          <w:jc w:val="center"/>
        </w:trPr>
        <w:tc>
          <w:tcPr>
            <w:tcW w:w="8829" w:type="dxa"/>
            <w:tcBorders>
              <w:top w:val="single" w:color="000000" w:sz="2" w:space="0"/>
              <w:left w:val="single" w:color="000000" w:sz="2" w:space="0"/>
              <w:bottom w:val="single" w:color="000000" w:sz="2" w:space="0"/>
              <w:right w:val="single" w:color="000000" w:sz="2" w:space="0"/>
            </w:tcBorders>
          </w:tcPr>
          <w:p>
            <w:pPr>
              <w:snapToGrid w:val="0"/>
              <w:spacing w:line="360" w:lineRule="auto"/>
              <w:ind w:firstLine="228" w:firstLineChars="100"/>
              <w:jc w:val="left"/>
              <w:rPr>
                <w:spacing w:val="-4"/>
              </w:rPr>
            </w:pPr>
            <w:r>
              <w:rPr>
                <w:rFonts w:hint="eastAsia" w:ascii="仿宋" w:hAnsi="仿宋" w:eastAsia="仿宋"/>
                <w:spacing w:val="-4"/>
                <w:sz w:val="24"/>
                <w:szCs w:val="24"/>
              </w:rPr>
              <w:t>2.学校已具备的教学改革基础和环境，学校对项目的支持情况（含有关政策、经费及其使用管理机制、保障条件等，可附有关文件），尚缺少的条件和拟解决的途径。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3" w:hRule="atLeast"/>
          <w:jc w:val="center"/>
        </w:trPr>
        <w:tc>
          <w:tcPr>
            <w:tcW w:w="8829" w:type="dxa"/>
            <w:tcBorders>
              <w:top w:val="single" w:color="000000" w:sz="2" w:space="0"/>
              <w:left w:val="single" w:color="000000" w:sz="2" w:space="0"/>
              <w:bottom w:val="single" w:color="000000" w:sz="2" w:space="0"/>
              <w:right w:val="single" w:color="000000" w:sz="2" w:space="0"/>
            </w:tcBorders>
          </w:tcPr>
          <w:p>
            <w:pPr>
              <w:ind w:firstLine="236" w:firstLineChars="100"/>
              <w:jc w:val="left"/>
              <w:rPr>
                <w:sz w:val="24"/>
                <w:szCs w:val="24"/>
              </w:rPr>
            </w:pPr>
            <w:r>
              <w:rPr>
                <w:rFonts w:hint="eastAsia" w:ascii="仿宋" w:hAnsi="仿宋" w:eastAsia="仿宋"/>
                <w:sz w:val="24"/>
                <w:szCs w:val="24"/>
              </w:rPr>
              <w:t>3.申请者和项目组成员所承担的教学改革和科研项目情况（注明承担项目立项时间、立项单位、参与名次及承担的主要工作）</w:t>
            </w:r>
          </w:p>
        </w:tc>
      </w:tr>
    </w:tbl>
    <w:p>
      <w:pPr>
        <w:rPr>
          <w:rFonts w:ascii="黑体" w:eastAsia="黑体"/>
          <w:sz w:val="30"/>
          <w:szCs w:val="30"/>
        </w:rPr>
      </w:pPr>
      <w:r>
        <w:rPr>
          <w:rFonts w:hint="eastAsia" w:ascii="黑体" w:hAnsi="黑体" w:eastAsia="黑体"/>
          <w:sz w:val="30"/>
          <w:szCs w:val="30"/>
        </w:rPr>
        <w:t>五、经费预算</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2072"/>
        <w:gridCol w:w="3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92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支出科目（含配套经费）</w:t>
            </w:r>
          </w:p>
        </w:tc>
        <w:tc>
          <w:tcPr>
            <w:tcW w:w="2072"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金额（元）</w:t>
            </w:r>
          </w:p>
        </w:tc>
        <w:tc>
          <w:tcPr>
            <w:tcW w:w="3768"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计算根据及理由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92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sz w:val="24"/>
                <w:szCs w:val="24"/>
              </w:rPr>
            </w:pPr>
            <w:r>
              <w:rPr>
                <w:rFonts w:hint="eastAsia" w:ascii="仿宋" w:hAnsi="仿宋" w:eastAsia="仿宋"/>
                <w:sz w:val="24"/>
                <w:szCs w:val="24"/>
              </w:rPr>
              <w:t>合 计</w:t>
            </w:r>
          </w:p>
        </w:tc>
        <w:tc>
          <w:tcPr>
            <w:tcW w:w="2072"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4"/>
                <w:szCs w:val="24"/>
              </w:rPr>
            </w:pPr>
          </w:p>
        </w:tc>
        <w:tc>
          <w:tcPr>
            <w:tcW w:w="3768"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920" w:type="dxa"/>
            <w:tcBorders>
              <w:top w:val="single" w:color="auto" w:sz="4" w:space="0"/>
              <w:left w:val="single" w:color="auto" w:sz="4" w:space="0"/>
              <w:bottom w:val="single" w:color="auto" w:sz="4" w:space="0"/>
              <w:right w:val="single" w:color="auto" w:sz="4" w:space="0"/>
            </w:tcBorders>
          </w:tcPr>
          <w:p>
            <w:pPr>
              <w:rPr>
                <w:rFonts w:ascii="仿宋" w:hAnsi="仿宋" w:eastAsia="仿宋"/>
                <w:sz w:val="24"/>
                <w:szCs w:val="24"/>
              </w:rPr>
            </w:pPr>
            <w:r>
              <w:rPr>
                <w:rFonts w:hint="eastAsia" w:ascii="仿宋" w:hAnsi="仿宋" w:eastAsia="仿宋"/>
                <w:sz w:val="24"/>
                <w:szCs w:val="24"/>
              </w:rPr>
              <w:t>1.</w:t>
            </w:r>
          </w:p>
        </w:tc>
        <w:tc>
          <w:tcPr>
            <w:tcW w:w="2072" w:type="dxa"/>
            <w:tcBorders>
              <w:top w:val="single" w:color="auto" w:sz="4" w:space="0"/>
              <w:left w:val="nil"/>
              <w:bottom w:val="single" w:color="auto" w:sz="4" w:space="0"/>
              <w:right w:val="single" w:color="auto" w:sz="4" w:space="0"/>
            </w:tcBorders>
          </w:tcPr>
          <w:p>
            <w:pPr>
              <w:jc w:val="center"/>
              <w:rPr>
                <w:rFonts w:ascii="仿宋" w:hAnsi="仿宋" w:eastAsia="仿宋"/>
                <w:sz w:val="24"/>
                <w:szCs w:val="24"/>
              </w:rPr>
            </w:pPr>
          </w:p>
        </w:tc>
        <w:tc>
          <w:tcPr>
            <w:tcW w:w="3768" w:type="dxa"/>
            <w:tcBorders>
              <w:top w:val="single" w:color="auto" w:sz="4" w:space="0"/>
              <w:left w:val="nil"/>
              <w:bottom w:val="single" w:color="auto" w:sz="4" w:space="0"/>
              <w:right w:val="single" w:color="auto" w:sz="4" w:space="0"/>
            </w:tcBorders>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92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sz w:val="24"/>
                <w:szCs w:val="24"/>
              </w:rPr>
            </w:pPr>
            <w:r>
              <w:rPr>
                <w:rFonts w:hint="eastAsia" w:ascii="仿宋" w:hAnsi="仿宋" w:eastAsia="仿宋"/>
                <w:sz w:val="24"/>
                <w:szCs w:val="24"/>
              </w:rPr>
              <w:t>2.</w:t>
            </w:r>
          </w:p>
        </w:tc>
        <w:tc>
          <w:tcPr>
            <w:tcW w:w="2072"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4"/>
                <w:szCs w:val="24"/>
              </w:rPr>
            </w:pPr>
          </w:p>
        </w:tc>
        <w:tc>
          <w:tcPr>
            <w:tcW w:w="3768"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92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sz w:val="24"/>
                <w:szCs w:val="24"/>
              </w:rPr>
            </w:pPr>
            <w:r>
              <w:rPr>
                <w:rFonts w:hint="eastAsia" w:ascii="仿宋" w:hAnsi="仿宋" w:eastAsia="仿宋"/>
                <w:sz w:val="24"/>
                <w:szCs w:val="24"/>
              </w:rPr>
              <w:t>3.</w:t>
            </w:r>
          </w:p>
        </w:tc>
        <w:tc>
          <w:tcPr>
            <w:tcW w:w="2072"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4"/>
                <w:szCs w:val="24"/>
              </w:rPr>
            </w:pPr>
          </w:p>
        </w:tc>
        <w:tc>
          <w:tcPr>
            <w:tcW w:w="3768"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92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sz w:val="24"/>
                <w:szCs w:val="24"/>
              </w:rPr>
            </w:pPr>
            <w:r>
              <w:rPr>
                <w:rFonts w:hint="eastAsia" w:ascii="仿宋" w:hAnsi="仿宋" w:eastAsia="仿宋"/>
                <w:sz w:val="24"/>
                <w:szCs w:val="24"/>
              </w:rPr>
              <w:t>4.</w:t>
            </w:r>
          </w:p>
        </w:tc>
        <w:tc>
          <w:tcPr>
            <w:tcW w:w="2072"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4"/>
                <w:szCs w:val="24"/>
              </w:rPr>
            </w:pPr>
          </w:p>
        </w:tc>
        <w:tc>
          <w:tcPr>
            <w:tcW w:w="3768"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92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sz w:val="24"/>
                <w:szCs w:val="24"/>
              </w:rPr>
            </w:pPr>
            <w:r>
              <w:rPr>
                <w:rFonts w:hint="eastAsia" w:ascii="仿宋" w:hAnsi="仿宋" w:eastAsia="仿宋"/>
                <w:sz w:val="24"/>
                <w:szCs w:val="24"/>
              </w:rPr>
              <w:t>5.</w:t>
            </w:r>
          </w:p>
        </w:tc>
        <w:tc>
          <w:tcPr>
            <w:tcW w:w="2072"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4"/>
                <w:szCs w:val="24"/>
              </w:rPr>
            </w:pPr>
          </w:p>
        </w:tc>
        <w:tc>
          <w:tcPr>
            <w:tcW w:w="3768"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920"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sz w:val="24"/>
                <w:szCs w:val="24"/>
              </w:rPr>
            </w:pPr>
            <w:r>
              <w:rPr>
                <w:rFonts w:hint="eastAsia" w:ascii="仿宋" w:hAnsi="仿宋" w:eastAsia="仿宋"/>
                <w:sz w:val="24"/>
                <w:szCs w:val="24"/>
              </w:rPr>
              <w:t>6.</w:t>
            </w:r>
          </w:p>
        </w:tc>
        <w:tc>
          <w:tcPr>
            <w:tcW w:w="2072"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4"/>
                <w:szCs w:val="24"/>
              </w:rPr>
            </w:pPr>
          </w:p>
        </w:tc>
        <w:tc>
          <w:tcPr>
            <w:tcW w:w="3768" w:type="dxa"/>
            <w:tcBorders>
              <w:top w:val="single" w:color="auto" w:sz="4" w:space="0"/>
              <w:left w:val="nil"/>
              <w:bottom w:val="single" w:color="auto" w:sz="4" w:space="0"/>
              <w:right w:val="single" w:color="auto" w:sz="4" w:space="0"/>
            </w:tcBorders>
            <w:vAlign w:val="center"/>
          </w:tcPr>
          <w:p>
            <w:pPr>
              <w:jc w:val="center"/>
              <w:rPr>
                <w:rFonts w:ascii="仿宋" w:hAnsi="仿宋" w:eastAsia="仿宋"/>
                <w:sz w:val="24"/>
                <w:szCs w:val="24"/>
              </w:rPr>
            </w:pPr>
          </w:p>
        </w:tc>
      </w:tr>
    </w:tbl>
    <w:p>
      <w:pPr>
        <w:rPr>
          <w:rFonts w:ascii="黑体" w:eastAsia="黑体"/>
          <w:sz w:val="30"/>
          <w:szCs w:val="30"/>
        </w:rPr>
      </w:pPr>
      <w:r>
        <w:rPr>
          <w:rFonts w:hint="eastAsia" w:ascii="黑体" w:hAnsi="黑体" w:eastAsia="黑体"/>
          <w:sz w:val="30"/>
          <w:szCs w:val="30"/>
        </w:rPr>
        <w:t>六、单位推荐意见</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6" w:hRule="atLeast"/>
          <w:jc w:val="center"/>
        </w:trPr>
        <w:tc>
          <w:tcPr>
            <w:tcW w:w="8721" w:type="dxa"/>
            <w:tcBorders>
              <w:top w:val="single" w:color="000000" w:sz="2" w:space="0"/>
              <w:left w:val="single" w:color="000000" w:sz="2" w:space="0"/>
              <w:bottom w:val="single" w:color="000000" w:sz="2" w:space="0"/>
              <w:right w:val="single" w:color="000000" w:sz="2" w:space="0"/>
            </w:tcBorders>
          </w:tcPr>
          <w:p>
            <w:pPr>
              <w:snapToGrid w:val="0"/>
              <w:spacing w:line="391" w:lineRule="atLeast"/>
              <w:jc w:val="left"/>
            </w:pPr>
          </w:p>
          <w:p>
            <w:pPr>
              <w:snapToGrid w:val="0"/>
              <w:spacing w:line="391" w:lineRule="atLeast"/>
              <w:jc w:val="left"/>
            </w:pPr>
          </w:p>
          <w:p>
            <w:pPr>
              <w:snapToGrid w:val="0"/>
              <w:spacing w:line="391" w:lineRule="atLeast"/>
              <w:jc w:val="left"/>
              <w:rPr>
                <w:sz w:val="24"/>
                <w:szCs w:val="24"/>
              </w:rPr>
            </w:pPr>
          </w:p>
          <w:p>
            <w:pPr>
              <w:snapToGrid w:val="0"/>
              <w:spacing w:line="391" w:lineRule="atLeast"/>
              <w:jc w:val="left"/>
              <w:rPr>
                <w:sz w:val="24"/>
                <w:szCs w:val="24"/>
              </w:rPr>
            </w:pPr>
          </w:p>
          <w:p>
            <w:pPr>
              <w:snapToGrid w:val="0"/>
              <w:spacing w:line="391" w:lineRule="atLeast"/>
              <w:jc w:val="left"/>
              <w:rPr>
                <w:sz w:val="24"/>
                <w:szCs w:val="24"/>
              </w:rPr>
            </w:pPr>
          </w:p>
          <w:p>
            <w:pPr>
              <w:snapToGrid w:val="0"/>
              <w:spacing w:line="391" w:lineRule="atLeast"/>
              <w:jc w:val="left"/>
              <w:rPr>
                <w:sz w:val="24"/>
                <w:szCs w:val="24"/>
              </w:rPr>
            </w:pPr>
          </w:p>
          <w:p>
            <w:pPr>
              <w:snapToGrid w:val="0"/>
              <w:spacing w:line="391" w:lineRule="atLeast"/>
              <w:jc w:val="left"/>
              <w:rPr>
                <w:sz w:val="24"/>
                <w:szCs w:val="24"/>
              </w:rPr>
            </w:pPr>
          </w:p>
          <w:p>
            <w:pPr>
              <w:snapToGrid w:val="0"/>
              <w:spacing w:line="391" w:lineRule="atLeast"/>
              <w:jc w:val="left"/>
              <w:rPr>
                <w:sz w:val="24"/>
                <w:szCs w:val="24"/>
              </w:rPr>
            </w:pPr>
          </w:p>
          <w:p>
            <w:pPr>
              <w:autoSpaceDE w:val="0"/>
              <w:snapToGrid w:val="0"/>
              <w:spacing w:line="360" w:lineRule="auto"/>
              <w:jc w:val="left"/>
              <w:rPr>
                <w:sz w:val="24"/>
                <w:szCs w:val="24"/>
              </w:rPr>
            </w:pPr>
          </w:p>
          <w:p>
            <w:pPr>
              <w:autoSpaceDE w:val="0"/>
              <w:spacing w:line="360" w:lineRule="auto"/>
              <w:jc w:val="center"/>
              <w:rPr>
                <w:rFonts w:ascii="仿宋" w:hAnsi="仿宋" w:eastAsia="仿宋"/>
                <w:sz w:val="24"/>
                <w:szCs w:val="24"/>
              </w:rPr>
            </w:pPr>
            <w:r>
              <w:rPr>
                <w:rFonts w:hint="eastAsia" w:ascii="仿宋" w:hAnsi="仿宋" w:eastAsia="仿宋"/>
                <w:sz w:val="24"/>
                <w:szCs w:val="24"/>
              </w:rPr>
              <w:t>单位负责人签名：</w:t>
            </w:r>
          </w:p>
          <w:p>
            <w:pPr>
              <w:autoSpaceDE w:val="0"/>
              <w:spacing w:line="360" w:lineRule="auto"/>
              <w:jc w:val="center"/>
              <w:rPr>
                <w:rFonts w:ascii="仿宋" w:hAnsi="仿宋" w:eastAsia="仿宋"/>
                <w:sz w:val="24"/>
                <w:szCs w:val="24"/>
              </w:rPr>
            </w:pPr>
            <w:r>
              <w:rPr>
                <w:rFonts w:hint="eastAsia" w:ascii="仿宋" w:hAnsi="仿宋" w:eastAsia="仿宋"/>
                <w:sz w:val="24"/>
                <w:szCs w:val="24"/>
              </w:rPr>
              <w:t xml:space="preserve">      单位盖章：</w:t>
            </w:r>
          </w:p>
          <w:p>
            <w:pPr>
              <w:autoSpaceDE w:val="0"/>
              <w:spacing w:line="360" w:lineRule="auto"/>
              <w:jc w:val="center"/>
              <w:rPr>
                <w:sz w:val="24"/>
                <w:szCs w:val="24"/>
              </w:rPr>
            </w:pPr>
            <w:r>
              <w:rPr>
                <w:rFonts w:hint="eastAsia" w:ascii="仿宋" w:hAnsi="仿宋" w:eastAsia="仿宋"/>
                <w:sz w:val="24"/>
                <w:szCs w:val="24"/>
              </w:rPr>
              <w:t xml:space="preserve">                            年    月    日</w:t>
            </w:r>
          </w:p>
          <w:p>
            <w:pPr>
              <w:snapToGrid w:val="0"/>
              <w:spacing w:line="379" w:lineRule="atLeast"/>
              <w:jc w:val="right"/>
            </w:pPr>
          </w:p>
        </w:tc>
      </w:tr>
    </w:tbl>
    <w:p>
      <w:pPr>
        <w:widowControl/>
        <w:jc w:val="left"/>
        <w:rPr>
          <w:rFonts w:ascii="仿宋" w:hAnsi="仿宋" w:eastAsia="仿宋" w:cs="宋体"/>
          <w:szCs w:val="32"/>
        </w:rPr>
        <w:sectPr>
          <w:footerReference r:id="rId3" w:type="default"/>
          <w:footerReference r:id="rId4" w:type="even"/>
          <w:pgSz w:w="11906" w:h="16838"/>
          <w:pgMar w:top="2098" w:right="1474" w:bottom="1985" w:left="1588" w:header="0" w:footer="1588" w:gutter="0"/>
          <w:pgNumType w:fmt="numberInDash"/>
          <w:cols w:space="720" w:num="1"/>
          <w:docGrid w:type="linesAndChars" w:linePitch="579" w:charSpace="-849"/>
        </w:sectPr>
      </w:pPr>
    </w:p>
    <w:p>
      <w:pPr>
        <w:rPr>
          <w:rFonts w:ascii="黑体" w:hAnsi="黑体" w:eastAsia="黑体"/>
          <w:szCs w:val="32"/>
        </w:rPr>
      </w:pPr>
      <w:r>
        <w:rPr>
          <w:rFonts w:hint="eastAsia" w:ascii="黑体" w:hAnsi="黑体" w:eastAsia="黑体"/>
          <w:szCs w:val="32"/>
        </w:rPr>
        <w:t>附件3</w:t>
      </w:r>
    </w:p>
    <w:p>
      <w:pPr>
        <w:rPr>
          <w:rFonts w:ascii="黑体" w:hAnsi="黑体" w:eastAsia="黑体"/>
          <w:szCs w:val="32"/>
        </w:rPr>
      </w:pPr>
    </w:p>
    <w:p>
      <w:pPr>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商丘学院教育教学改革研究项目与实践项目立项申报汇总表</w:t>
      </w:r>
    </w:p>
    <w:p>
      <w:pPr>
        <w:ind w:firstLine="720" w:firstLineChars="300"/>
        <w:jc w:val="left"/>
        <w:rPr>
          <w:rFonts w:ascii="楷体_GB2312"/>
          <w:sz w:val="24"/>
          <w:szCs w:val="24"/>
        </w:rPr>
      </w:pPr>
      <w:r>
        <w:rPr>
          <w:rFonts w:hint="eastAsia" w:ascii="楷体_GB2312" w:hAnsi="楷体_GB2312"/>
          <w:sz w:val="24"/>
          <w:szCs w:val="24"/>
        </w:rPr>
        <w:t>单位（盖章）：</w:t>
      </w:r>
      <w:r>
        <w:rPr>
          <w:rFonts w:hint="eastAsia" w:ascii="楷体_GB2312"/>
          <w:sz w:val="24"/>
          <w:szCs w:val="24"/>
        </w:rPr>
        <w:t xml:space="preserve">                                                             </w:t>
      </w:r>
      <w:r>
        <w:rPr>
          <w:rFonts w:hint="eastAsia" w:ascii="楷体_GB2312" w:hAnsi="楷体_GB2312"/>
          <w:sz w:val="24"/>
          <w:szCs w:val="24"/>
        </w:rPr>
        <w:t>填表日期：</w:t>
      </w:r>
      <w:r>
        <w:rPr>
          <w:rFonts w:hint="eastAsia" w:ascii="楷体_GB2312"/>
          <w:sz w:val="24"/>
          <w:szCs w:val="24"/>
        </w:rPr>
        <w:t xml:space="preserve">    </w:t>
      </w:r>
      <w:r>
        <w:rPr>
          <w:rFonts w:hint="eastAsia" w:ascii="楷体_GB2312" w:hAnsi="楷体_GB2312"/>
          <w:sz w:val="24"/>
          <w:szCs w:val="24"/>
        </w:rPr>
        <w:t>年</w:t>
      </w:r>
      <w:r>
        <w:rPr>
          <w:rFonts w:hint="eastAsia" w:ascii="楷体_GB2312"/>
          <w:sz w:val="24"/>
          <w:szCs w:val="24"/>
        </w:rPr>
        <w:t xml:space="preserve">  </w:t>
      </w:r>
      <w:r>
        <w:rPr>
          <w:rFonts w:hint="eastAsia" w:ascii="楷体_GB2312" w:hAnsi="楷体_GB2312"/>
          <w:sz w:val="24"/>
          <w:szCs w:val="24"/>
        </w:rPr>
        <w:t>月</w:t>
      </w:r>
      <w:r>
        <w:rPr>
          <w:rFonts w:hint="eastAsia" w:ascii="楷体_GB2312"/>
          <w:sz w:val="24"/>
          <w:szCs w:val="24"/>
        </w:rPr>
        <w:t xml:space="preserve">  </w:t>
      </w:r>
      <w:r>
        <w:rPr>
          <w:rFonts w:hint="eastAsia" w:ascii="楷体_GB2312" w:hAnsi="楷体_GB2312"/>
          <w:sz w:val="24"/>
          <w:szCs w:val="24"/>
        </w:rPr>
        <w:t>日</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1853"/>
        <w:gridCol w:w="2019"/>
        <w:gridCol w:w="1993"/>
        <w:gridCol w:w="2940"/>
        <w:gridCol w:w="1693"/>
        <w:gridCol w:w="1388"/>
        <w:gridCol w:w="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黑体" w:eastAsia="黑体"/>
                <w:sz w:val="24"/>
                <w:szCs w:val="24"/>
              </w:rPr>
            </w:pPr>
            <w:r>
              <w:rPr>
                <w:rFonts w:hint="eastAsia" w:ascii="黑体" w:eastAsia="黑体"/>
                <w:sz w:val="24"/>
                <w:szCs w:val="24"/>
              </w:rPr>
              <w:t>推荐序号</w:t>
            </w:r>
          </w:p>
        </w:tc>
        <w:tc>
          <w:tcPr>
            <w:tcW w:w="1853" w:type="dxa"/>
            <w:tcBorders>
              <w:top w:val="single" w:color="auto" w:sz="4" w:space="0"/>
              <w:left w:val="nil"/>
              <w:bottom w:val="single" w:color="auto" w:sz="4" w:space="0"/>
              <w:right w:val="single" w:color="auto" w:sz="4" w:space="0"/>
            </w:tcBorders>
            <w:vAlign w:val="center"/>
          </w:tcPr>
          <w:p>
            <w:pPr>
              <w:snapToGrid w:val="0"/>
              <w:jc w:val="center"/>
              <w:rPr>
                <w:rFonts w:ascii="黑体" w:eastAsia="黑体"/>
                <w:sz w:val="24"/>
                <w:szCs w:val="24"/>
              </w:rPr>
            </w:pPr>
            <w:r>
              <w:rPr>
                <w:rFonts w:hint="eastAsia" w:ascii="黑体" w:eastAsia="黑体"/>
                <w:sz w:val="24"/>
                <w:szCs w:val="24"/>
              </w:rPr>
              <w:t>申报单位</w:t>
            </w:r>
          </w:p>
        </w:tc>
        <w:tc>
          <w:tcPr>
            <w:tcW w:w="2019" w:type="dxa"/>
            <w:tcBorders>
              <w:top w:val="single" w:color="auto" w:sz="4" w:space="0"/>
              <w:left w:val="nil"/>
              <w:bottom w:val="single" w:color="auto" w:sz="4" w:space="0"/>
              <w:right w:val="single" w:color="auto" w:sz="4" w:space="0"/>
            </w:tcBorders>
            <w:vAlign w:val="center"/>
          </w:tcPr>
          <w:p>
            <w:pPr>
              <w:snapToGrid w:val="0"/>
              <w:jc w:val="center"/>
              <w:rPr>
                <w:rFonts w:ascii="黑体" w:eastAsia="黑体"/>
                <w:sz w:val="24"/>
                <w:szCs w:val="24"/>
              </w:rPr>
            </w:pPr>
            <w:r>
              <w:rPr>
                <w:rFonts w:hint="eastAsia" w:ascii="黑体" w:eastAsia="黑体"/>
                <w:sz w:val="24"/>
                <w:szCs w:val="24"/>
              </w:rPr>
              <w:t>项目名称</w:t>
            </w:r>
          </w:p>
        </w:tc>
        <w:tc>
          <w:tcPr>
            <w:tcW w:w="1993" w:type="dxa"/>
            <w:tcBorders>
              <w:top w:val="single" w:color="auto" w:sz="4" w:space="0"/>
              <w:left w:val="nil"/>
              <w:bottom w:val="single" w:color="auto" w:sz="4" w:space="0"/>
              <w:right w:val="single" w:color="auto" w:sz="4" w:space="0"/>
            </w:tcBorders>
            <w:vAlign w:val="center"/>
          </w:tcPr>
          <w:p>
            <w:pPr>
              <w:snapToGrid w:val="0"/>
              <w:jc w:val="center"/>
              <w:rPr>
                <w:rFonts w:ascii="黑体" w:eastAsia="黑体"/>
                <w:sz w:val="24"/>
                <w:szCs w:val="24"/>
              </w:rPr>
            </w:pPr>
            <w:r>
              <w:rPr>
                <w:rFonts w:hint="eastAsia" w:ascii="黑体" w:eastAsia="黑体"/>
                <w:sz w:val="24"/>
                <w:szCs w:val="24"/>
              </w:rPr>
              <w:t>项目主持人</w:t>
            </w:r>
          </w:p>
        </w:tc>
        <w:tc>
          <w:tcPr>
            <w:tcW w:w="2940" w:type="dxa"/>
            <w:tcBorders>
              <w:top w:val="single" w:color="auto" w:sz="4" w:space="0"/>
              <w:left w:val="nil"/>
              <w:bottom w:val="single" w:color="auto" w:sz="4" w:space="0"/>
              <w:right w:val="single" w:color="auto" w:sz="4" w:space="0"/>
            </w:tcBorders>
            <w:vAlign w:val="center"/>
          </w:tcPr>
          <w:p>
            <w:pPr>
              <w:snapToGrid w:val="0"/>
              <w:jc w:val="center"/>
              <w:rPr>
                <w:rFonts w:ascii="黑体" w:eastAsia="黑体"/>
                <w:sz w:val="24"/>
                <w:szCs w:val="24"/>
              </w:rPr>
            </w:pPr>
            <w:r>
              <w:rPr>
                <w:rFonts w:hint="eastAsia" w:ascii="黑体" w:eastAsia="黑体"/>
                <w:sz w:val="24"/>
                <w:szCs w:val="24"/>
              </w:rPr>
              <w:t>主要成员</w:t>
            </w:r>
          </w:p>
        </w:tc>
        <w:tc>
          <w:tcPr>
            <w:tcW w:w="1693" w:type="dxa"/>
            <w:tcBorders>
              <w:top w:val="single" w:color="auto" w:sz="4" w:space="0"/>
              <w:left w:val="nil"/>
              <w:bottom w:val="single" w:color="auto" w:sz="4" w:space="0"/>
              <w:right w:val="single" w:color="auto" w:sz="4" w:space="0"/>
            </w:tcBorders>
            <w:vAlign w:val="center"/>
          </w:tcPr>
          <w:p>
            <w:pPr>
              <w:snapToGrid w:val="0"/>
              <w:jc w:val="center"/>
              <w:rPr>
                <w:rFonts w:ascii="黑体" w:eastAsia="黑体"/>
                <w:sz w:val="24"/>
                <w:szCs w:val="24"/>
              </w:rPr>
            </w:pPr>
            <w:r>
              <w:rPr>
                <w:rFonts w:hint="eastAsia" w:ascii="黑体" w:eastAsia="黑体"/>
                <w:sz w:val="24"/>
                <w:szCs w:val="24"/>
              </w:rPr>
              <w:t>申报层次</w:t>
            </w:r>
          </w:p>
        </w:tc>
        <w:tc>
          <w:tcPr>
            <w:tcW w:w="1388" w:type="dxa"/>
            <w:tcBorders>
              <w:top w:val="single" w:color="auto" w:sz="4" w:space="0"/>
              <w:left w:val="nil"/>
              <w:bottom w:val="single" w:color="auto" w:sz="4" w:space="0"/>
              <w:right w:val="single" w:color="auto" w:sz="4" w:space="0"/>
            </w:tcBorders>
            <w:vAlign w:val="center"/>
          </w:tcPr>
          <w:p>
            <w:pPr>
              <w:snapToGrid w:val="0"/>
              <w:jc w:val="center"/>
              <w:rPr>
                <w:rFonts w:ascii="黑体" w:eastAsia="黑体"/>
                <w:sz w:val="24"/>
                <w:szCs w:val="24"/>
              </w:rPr>
            </w:pPr>
            <w:r>
              <w:rPr>
                <w:rFonts w:hint="eastAsia" w:ascii="黑体" w:eastAsia="黑体"/>
                <w:sz w:val="24"/>
                <w:szCs w:val="24"/>
              </w:rPr>
              <w:t>项目科类</w:t>
            </w:r>
          </w:p>
        </w:tc>
        <w:tc>
          <w:tcPr>
            <w:tcW w:w="927" w:type="dxa"/>
            <w:tcBorders>
              <w:top w:val="single" w:color="auto" w:sz="4" w:space="0"/>
              <w:left w:val="nil"/>
              <w:bottom w:val="single" w:color="auto" w:sz="4" w:space="0"/>
              <w:right w:val="single" w:color="auto" w:sz="4" w:space="0"/>
            </w:tcBorders>
            <w:vAlign w:val="center"/>
          </w:tcPr>
          <w:p>
            <w:pPr>
              <w:snapToGrid w:val="0"/>
              <w:jc w:val="center"/>
              <w:rPr>
                <w:rFonts w:ascii="黑体" w:eastAsia="黑体"/>
                <w:sz w:val="24"/>
                <w:szCs w:val="24"/>
              </w:rPr>
            </w:pPr>
            <w:r>
              <w:rPr>
                <w:rFonts w:hint="eastAsia" w:ascii="黑体" w:eastAsia="黑体"/>
                <w:sz w:val="24"/>
                <w:szCs w:val="24"/>
              </w:rPr>
              <w:t>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53"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2019"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c>
          <w:tcPr>
            <w:tcW w:w="1993"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c>
          <w:tcPr>
            <w:tcW w:w="2940"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1693"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1388"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927"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53"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2019"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c>
          <w:tcPr>
            <w:tcW w:w="1993"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c>
          <w:tcPr>
            <w:tcW w:w="2940"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1693"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1388"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927"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53"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2019"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c>
          <w:tcPr>
            <w:tcW w:w="1993"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c>
          <w:tcPr>
            <w:tcW w:w="2940"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1693"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1388"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927"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53"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2019"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c>
          <w:tcPr>
            <w:tcW w:w="1993"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c>
          <w:tcPr>
            <w:tcW w:w="2940"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1693"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1388"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927"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53"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2019"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c>
          <w:tcPr>
            <w:tcW w:w="1993"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c>
          <w:tcPr>
            <w:tcW w:w="2940"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1693"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1388"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927"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53"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2019"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c>
          <w:tcPr>
            <w:tcW w:w="1993"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c>
          <w:tcPr>
            <w:tcW w:w="2940"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1693"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1388"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927"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53"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2019"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c>
          <w:tcPr>
            <w:tcW w:w="1993"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c>
          <w:tcPr>
            <w:tcW w:w="2940"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1693"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1388" w:type="dxa"/>
            <w:tcBorders>
              <w:top w:val="single" w:color="auto" w:sz="4" w:space="0"/>
              <w:left w:val="nil"/>
              <w:bottom w:val="single" w:color="auto" w:sz="4" w:space="0"/>
              <w:right w:val="single" w:color="auto" w:sz="4" w:space="0"/>
            </w:tcBorders>
          </w:tcPr>
          <w:p>
            <w:pPr>
              <w:ind w:firstLine="480" w:firstLineChars="200"/>
              <w:rPr>
                <w:sz w:val="24"/>
                <w:szCs w:val="24"/>
              </w:rPr>
            </w:pPr>
          </w:p>
        </w:tc>
        <w:tc>
          <w:tcPr>
            <w:tcW w:w="927" w:type="dxa"/>
            <w:tcBorders>
              <w:top w:val="single" w:color="auto" w:sz="4" w:space="0"/>
              <w:left w:val="nil"/>
              <w:bottom w:val="single" w:color="auto" w:sz="4" w:space="0"/>
              <w:right w:val="single" w:color="auto" w:sz="4" w:space="0"/>
            </w:tcBorders>
            <w:vAlign w:val="center"/>
          </w:tcPr>
          <w:p>
            <w:pPr>
              <w:ind w:firstLine="480" w:firstLineChars="200"/>
              <w:rPr>
                <w:sz w:val="24"/>
                <w:szCs w:val="24"/>
              </w:rPr>
            </w:pPr>
          </w:p>
        </w:tc>
      </w:tr>
    </w:tbl>
    <w:p>
      <w:pPr>
        <w:snapToGrid w:val="0"/>
        <w:rPr>
          <w:sz w:val="24"/>
          <w:szCs w:val="24"/>
        </w:rPr>
      </w:pPr>
      <w:r>
        <w:rPr>
          <w:sz w:val="24"/>
          <w:szCs w:val="24"/>
        </w:rPr>
        <w:t xml:space="preserve"> </w:t>
      </w:r>
    </w:p>
    <w:p>
      <w:pPr>
        <w:snapToGrid w:val="0"/>
        <w:rPr>
          <w:sz w:val="24"/>
          <w:szCs w:val="24"/>
        </w:rPr>
      </w:pPr>
      <w:r>
        <w:rPr>
          <w:rFonts w:hint="eastAsia" w:ascii="宋体" w:hAnsi="宋体"/>
          <w:sz w:val="24"/>
          <w:szCs w:val="24"/>
        </w:rPr>
        <w:t>联系人：</w:t>
      </w:r>
      <w:r>
        <w:rPr>
          <w:sz w:val="24"/>
          <w:szCs w:val="24"/>
        </w:rPr>
        <w:t xml:space="preserve">                 </w:t>
      </w:r>
      <w:r>
        <w:rPr>
          <w:rFonts w:hint="eastAsia" w:ascii="宋体" w:hAnsi="宋体"/>
          <w:sz w:val="24"/>
          <w:szCs w:val="24"/>
        </w:rPr>
        <w:t>职务：</w:t>
      </w:r>
      <w:r>
        <w:rPr>
          <w:sz w:val="24"/>
          <w:szCs w:val="24"/>
        </w:rPr>
        <w:t xml:space="preserve">                     </w:t>
      </w:r>
      <w:r>
        <w:rPr>
          <w:rFonts w:hint="eastAsia" w:ascii="宋体" w:hAnsi="宋体"/>
          <w:sz w:val="24"/>
          <w:szCs w:val="24"/>
        </w:rPr>
        <w:t>电话：</w:t>
      </w:r>
      <w:r>
        <w:rPr>
          <w:sz w:val="24"/>
          <w:szCs w:val="24"/>
        </w:rPr>
        <w:t xml:space="preserve">                 </w:t>
      </w:r>
      <w:r>
        <w:rPr>
          <w:rFonts w:hint="eastAsia" w:ascii="宋体" w:hAnsi="宋体"/>
          <w:sz w:val="24"/>
          <w:szCs w:val="24"/>
        </w:rPr>
        <w:t>电子邮箱：</w:t>
      </w:r>
    </w:p>
    <w:p>
      <w:pPr>
        <w:rPr>
          <w:sz w:val="24"/>
          <w:szCs w:val="24"/>
        </w:rPr>
      </w:pPr>
      <w:r>
        <w:rPr>
          <w:rFonts w:hint="eastAsia" w:ascii="宋体" w:hAnsi="宋体"/>
          <w:sz w:val="24"/>
          <w:szCs w:val="24"/>
        </w:rPr>
        <w:t>备注：此表格电子版请用</w:t>
      </w:r>
      <w:r>
        <w:rPr>
          <w:sz w:val="24"/>
          <w:szCs w:val="24"/>
        </w:rPr>
        <w:t>office excel</w:t>
      </w:r>
      <w:r>
        <w:rPr>
          <w:rFonts w:hint="eastAsia" w:ascii="宋体" w:hAnsi="宋体"/>
          <w:sz w:val="24"/>
          <w:szCs w:val="24"/>
        </w:rPr>
        <w:t>填写上报。</w:t>
      </w:r>
    </w:p>
    <w:p>
      <w:pPr>
        <w:sectPr>
          <w:pgSz w:w="16838" w:h="11906" w:orient="landscape"/>
          <w:pgMar w:top="1800" w:right="1440" w:bottom="1800" w:left="1440" w:header="851" w:footer="992" w:gutter="0"/>
          <w:pgNumType w:fmt="numberInDash"/>
          <w:cols w:space="425" w:num="1"/>
          <w:docGrid w:type="lines" w:linePitch="435" w:charSpace="0"/>
        </w:sectPr>
      </w:pPr>
    </w:p>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pStyle w:val="2"/>
        <w:snapToGrid w:val="0"/>
        <w:rPr>
          <w:rFonts w:ascii="Calibri" w:hAnsi="Calibri"/>
          <w:sz w:val="32"/>
          <w:szCs w:val="24"/>
        </w:rPr>
      </w:pPr>
    </w:p>
    <w:p>
      <w:pPr>
        <w:spacing w:line="600" w:lineRule="exact"/>
        <w:ind w:firstLine="317" w:firstLineChars="100"/>
        <w:rPr>
          <w:rFonts w:ascii="仿宋" w:hAnsi="仿宋" w:eastAsia="仿宋" w:cs="仿宋"/>
          <w:sz w:val="28"/>
          <w:szCs w:val="28"/>
        </w:rPr>
      </w:pPr>
      <w: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53975</wp:posOffset>
                </wp:positionV>
                <wp:extent cx="5594985" cy="29845"/>
                <wp:effectExtent l="0" t="0" r="24765" b="27305"/>
                <wp:wrapNone/>
                <wp:docPr id="7" name="直接连接符 7"/>
                <wp:cNvGraphicFramePr/>
                <a:graphic xmlns:a="http://schemas.openxmlformats.org/drawingml/2006/main">
                  <a:graphicData uri="http://schemas.microsoft.com/office/word/2010/wordprocessingShape">
                    <wps:wsp>
                      <wps:cNvCnPr/>
                      <wps:spPr>
                        <a:xfrm>
                          <a:off x="0" y="0"/>
                          <a:ext cx="5594985" cy="2984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75pt;margin-top:4.25pt;height:2.35pt;width:440.55pt;z-index:251659264;mso-width-relative:page;mso-height-relative:page;" filled="f" stroked="t" coordsize="21600,21600" o:gfxdata="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l6AwTTAAAABgEAAA8AAAAAAAAAAQAgAAAAIgAA&#10;AGRycy9kb3ducmV2LnhtbFBLAQIUABQAAAAIAIdO4kCRaPQ21AEAAI4DAAAOAAAAAAAAAAEAIAAA&#10;ACIBAABkcnMvZTJvRG9jLnhtbFBLBQYAAAAABgAGAFkBAABoBQAAAAA=&#10;">
                <v:fill on="f" focussize="0,0"/>
                <v:stroke color="#000000" joinstyle="round"/>
                <v:imagedata o:title=""/>
                <o:lock v:ext="edit" aspectratio="f"/>
              </v:line>
            </w:pict>
          </mc:Fallback>
        </mc:AlternateContent>
      </w:r>
      <w:r>
        <w:rPr>
          <w:rFonts w:hint="eastAsia" w:ascii="仿宋" w:hAnsi="仿宋" w:eastAsia="仿宋" w:cs="仿宋"/>
          <w:sz w:val="28"/>
          <w:szCs w:val="28"/>
        </w:rPr>
        <w:t>商丘学院办公室                          2019年11月24日印发</w:t>
      </w:r>
    </w:p>
    <w:p>
      <w:pPr>
        <w:spacing w:line="20" w:lineRule="exact"/>
        <w:jc w:val="center"/>
        <w:rPr>
          <w:rFonts w:ascii="仿宋" w:hAnsi="仿宋" w:eastAsia="仿宋" w:cs="仿宋"/>
          <w:sz w:val="28"/>
          <w:szCs w:val="28"/>
        </w:rPr>
      </w:pPr>
      <w:r>
        <w:drawing>
          <wp:anchor distT="0" distB="0" distL="114300" distR="114300" simplePos="0" relativeHeight="251661312" behindDoc="1" locked="0" layoutInCell="1" allowOverlap="1">
            <wp:simplePos x="0" y="0"/>
            <wp:positionH relativeFrom="page">
              <wp:posOffset>4785360</wp:posOffset>
            </wp:positionH>
            <wp:positionV relativeFrom="page">
              <wp:posOffset>9386570</wp:posOffset>
            </wp:positionV>
            <wp:extent cx="1714500" cy="457200"/>
            <wp:effectExtent l="0" t="0" r="0" b="0"/>
            <wp:wrapTight wrapText="bothSides">
              <wp:wrapPolygon>
                <wp:start x="0" y="0"/>
                <wp:lineTo x="0" y="20700"/>
                <wp:lineTo x="21360" y="20700"/>
                <wp:lineTo x="21360" y="0"/>
                <wp:lineTo x="0" y="0"/>
              </wp:wrapPolygon>
            </wp:wrapTight>
            <wp:docPr id="6" name="图片 6" descr="说明: BarCodeAd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说明: BarCodeAdd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714500" cy="457200"/>
                    </a:xfrm>
                    <a:prstGeom prst="rect">
                      <a:avLst/>
                    </a:prstGeom>
                    <a:noFill/>
                    <a:ln>
                      <a:noFill/>
                    </a:ln>
                  </pic:spPr>
                </pic:pic>
              </a:graphicData>
            </a:graphic>
          </wp:anchor>
        </w:drawing>
      </w: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75565</wp:posOffset>
                </wp:positionV>
                <wp:extent cx="5604510" cy="0"/>
                <wp:effectExtent l="0" t="0" r="15240" b="19050"/>
                <wp:wrapNone/>
                <wp:docPr id="4" name="直接连接符 4"/>
                <wp:cNvGraphicFramePr/>
                <a:graphic xmlns:a="http://schemas.openxmlformats.org/drawingml/2006/main">
                  <a:graphicData uri="http://schemas.microsoft.com/office/word/2010/wordprocessingShape">
                    <wps:wsp>
                      <wps:cNvCnPr/>
                      <wps:spPr>
                        <a:xfrm>
                          <a:off x="0" y="0"/>
                          <a:ext cx="560451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5.95pt;height:0pt;width:441.3pt;z-index:251660288;mso-width-relative:page;mso-height-relative:page;" filled="f" stroked="t" coordsize="21600,21600" o:gfxdata="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M8O3L0wAAAAYBAAAPAAAAAAAAAAEAIAAAACIAAABk&#10;cnMvZG93bnJldi54bWxQSwECFAAUAAAACACHTuJATT+MDdIBAACKAwAADgAAAAAAAAABACAAAAAi&#10;AQAAZHJzL2Uyb0RvYy54bWxQSwUGAAAAAAYABgBZAQAAZgUAAAAA&#10;">
                <v:fill on="f" focussize="0,0"/>
                <v:stroke color="#000000" joinstyle="round"/>
                <v:imagedata o:title=""/>
                <o:lock v:ext="edit" aspectratio="f"/>
              </v:line>
            </w:pict>
          </mc:Fallback>
        </mc:AlternateContent>
      </w:r>
    </w:p>
    <w:sectPr>
      <w:pgSz w:w="11906" w:h="16838"/>
      <w:pgMar w:top="2098" w:right="1474" w:bottom="1985" w:left="1588" w:header="0" w:footer="1588" w:gutter="0"/>
      <w:pgNumType w:fmt="numberInDash"/>
      <w:cols w:space="425" w:num="1"/>
      <w:docGrid w:type="linesAndChars" w:linePitch="579" w:charSpace="-8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left="480" w:leftChars="150" w:right="480" w:rightChars="150"/>
      <w:rPr>
        <w:rStyle w:val="8"/>
        <w:rFonts w:asciiTheme="minorEastAsia" w:hAnsiTheme="minorEastAsia" w:eastAsiaTheme="minorEastAsia"/>
        <w:sz w:val="28"/>
        <w:szCs w:val="28"/>
      </w:rPr>
    </w:pPr>
    <w:r>
      <w:rPr>
        <w:rStyle w:val="8"/>
        <w:rFonts w:asciiTheme="minorEastAsia" w:hAnsiTheme="minorEastAsia" w:eastAsiaTheme="minorEastAsia"/>
        <w:sz w:val="28"/>
        <w:szCs w:val="28"/>
      </w:rPr>
      <w:fldChar w:fldCharType="begin"/>
    </w:r>
    <w:r>
      <w:rPr>
        <w:rStyle w:val="8"/>
        <w:rFonts w:asciiTheme="minorEastAsia" w:hAnsiTheme="minorEastAsia" w:eastAsiaTheme="minorEastAsia"/>
        <w:sz w:val="28"/>
        <w:szCs w:val="28"/>
      </w:rPr>
      <w:instrText xml:space="preserve">PAGE  </w:instrText>
    </w:r>
    <w:r>
      <w:rPr>
        <w:rStyle w:val="8"/>
        <w:rFonts w:asciiTheme="minorEastAsia" w:hAnsiTheme="minorEastAsia" w:eastAsiaTheme="minorEastAsia"/>
        <w:sz w:val="28"/>
        <w:szCs w:val="28"/>
      </w:rPr>
      <w:fldChar w:fldCharType="separate"/>
    </w:r>
    <w:r>
      <w:rPr>
        <w:rStyle w:val="8"/>
        <w:rFonts w:asciiTheme="minorEastAsia" w:hAnsiTheme="minorEastAsia" w:eastAsiaTheme="minorEastAsia"/>
        <w:sz w:val="28"/>
        <w:szCs w:val="28"/>
      </w:rPr>
      <w:t>- 22 -</w:t>
    </w:r>
    <w:r>
      <w:rPr>
        <w:rStyle w:val="8"/>
        <w:rFonts w:asciiTheme="minorEastAsia" w:hAnsiTheme="minorEastAsia" w:eastAsiaTheme="minorEastAsia"/>
        <w:sz w:val="28"/>
        <w:szCs w:val="28"/>
      </w:rPr>
      <w:fldChar w:fldCharType="end"/>
    </w:r>
  </w:p>
  <w:p>
    <w:pPr>
      <w:pStyle w:val="3"/>
      <w:ind w:left="480" w:leftChars="150" w:right="480" w:rightChars="150" w:firstLine="360"/>
      <w:rPr>
        <w:rFonts w:asciiTheme="minorEastAsia" w:hAnsiTheme="minorEastAsia" w:eastAsiaTheme="min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C3FF4"/>
    <w:multiLevelType w:val="multilevel"/>
    <w:tmpl w:val="2DBC3FF4"/>
    <w:lvl w:ilvl="0" w:tentative="0">
      <w:start w:val="1"/>
      <w:numFmt w:val="chineseCounting"/>
      <w:suff w:val="nothing"/>
      <w:lvlText w:val="%1、"/>
      <w:lvlJc w:val="left"/>
      <w:pPr>
        <w:ind w:left="0" w:firstLine="0"/>
      </w:pPr>
      <w:rPr>
        <w:rFonts w:hint="eastAsia" w:ascii="黑体" w:hAnsi="黑体" w:eastAsia="黑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2E4841CC"/>
    <w:multiLevelType w:val="multilevel"/>
    <w:tmpl w:val="2E4841CC"/>
    <w:lvl w:ilvl="0" w:tentative="0">
      <w:start w:val="2"/>
      <w:numFmt w:val="chineseCounting"/>
      <w:suff w:val="nothing"/>
      <w:lvlText w:val="（%1）"/>
      <w:lvlJc w:val="left"/>
      <w:pPr>
        <w:ind w:left="0" w:firstLine="0"/>
      </w:pPr>
      <w:rPr>
        <w:rFonts w:hint="eastAsia" w:ascii="仿宋_GB2312" w:hAnsi="宋体" w:eastAsia="仿宋_GB2312"/>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6F8"/>
    <w:rsid w:val="00095190"/>
    <w:rsid w:val="001B264F"/>
    <w:rsid w:val="00423504"/>
    <w:rsid w:val="0049786A"/>
    <w:rsid w:val="00526D6D"/>
    <w:rsid w:val="005D56F8"/>
    <w:rsid w:val="0065742D"/>
    <w:rsid w:val="006B2A31"/>
    <w:rsid w:val="008432FF"/>
    <w:rsid w:val="00890D29"/>
    <w:rsid w:val="00901B65"/>
    <w:rsid w:val="00A47980"/>
    <w:rsid w:val="00B65D3C"/>
    <w:rsid w:val="00BA1B3C"/>
    <w:rsid w:val="00D96C93"/>
    <w:rsid w:val="32AF53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link w:val="11"/>
    <w:unhideWhenUsed/>
    <w:qFormat/>
    <w:uiPriority w:val="0"/>
    <w:rPr>
      <w:rFonts w:ascii="宋体" w:hAnsi="Courier New" w:cstheme="minorBidi"/>
      <w:sz w:val="21"/>
    </w:rPr>
  </w:style>
  <w:style w:type="paragraph" w:styleId="3">
    <w:name w:val="footer"/>
    <w:basedOn w:val="1"/>
    <w:link w:val="15"/>
    <w:unhideWhenUsed/>
    <w:qFormat/>
    <w:uiPriority w:val="99"/>
    <w:pPr>
      <w:tabs>
        <w:tab w:val="center" w:pos="4153"/>
        <w:tab w:val="right" w:pos="8306"/>
      </w:tabs>
      <w:snapToGrid w:val="0"/>
      <w:jc w:val="left"/>
    </w:pPr>
    <w:rPr>
      <w:sz w:val="18"/>
      <w:szCs w:val="18"/>
    </w:rPr>
  </w:style>
  <w:style w:type="paragraph" w:styleId="4">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eastAsiaTheme="minorEastAsia"/>
      <w:sz w:val="24"/>
      <w:szCs w:val="24"/>
    </w:rPr>
  </w:style>
  <w:style w:type="character" w:styleId="8">
    <w:name w:val="page number"/>
    <w:basedOn w:val="7"/>
    <w:semiHidden/>
    <w:unhideWhenUsed/>
    <w:qFormat/>
    <w:uiPriority w:val="99"/>
  </w:style>
  <w:style w:type="paragraph" w:customStyle="1" w:styleId="9">
    <w:name w:val="小节标题"/>
    <w:basedOn w:val="1"/>
    <w:next w:val="1"/>
    <w:uiPriority w:val="0"/>
    <w:pPr>
      <w:widowControl/>
      <w:spacing w:before="175" w:after="102" w:line="566" w:lineRule="atLeast"/>
    </w:pPr>
    <w:rPr>
      <w:rFonts w:eastAsia="黑体"/>
      <w:color w:val="000000"/>
      <w:kern w:val="0"/>
      <w:u w:color="000000"/>
    </w:rPr>
  </w:style>
  <w:style w:type="character" w:customStyle="1" w:styleId="10">
    <w:name w:val="HTML 预设格式 Char"/>
    <w:link w:val="5"/>
    <w:uiPriority w:val="0"/>
    <w:rPr>
      <w:rFonts w:ascii="宋体" w:hAnsi="宋体" w:cs="宋体"/>
      <w:sz w:val="24"/>
      <w:szCs w:val="24"/>
    </w:rPr>
  </w:style>
  <w:style w:type="character" w:customStyle="1" w:styleId="11">
    <w:name w:val="纯文本 Char"/>
    <w:link w:val="2"/>
    <w:qFormat/>
    <w:uiPriority w:val="0"/>
    <w:rPr>
      <w:rFonts w:ascii="宋体" w:hAnsi="Courier New" w:eastAsia="仿宋_GB2312"/>
      <w:szCs w:val="21"/>
    </w:rPr>
  </w:style>
  <w:style w:type="character" w:customStyle="1" w:styleId="12">
    <w:name w:val="纯文本 Char1"/>
    <w:basedOn w:val="7"/>
    <w:semiHidden/>
    <w:qFormat/>
    <w:uiPriority w:val="99"/>
    <w:rPr>
      <w:rFonts w:ascii="宋体" w:hAnsi="Courier New" w:eastAsia="宋体" w:cs="Courier New"/>
      <w:szCs w:val="21"/>
    </w:rPr>
  </w:style>
  <w:style w:type="character" w:customStyle="1" w:styleId="13">
    <w:name w:val="HTML 预设格式 Char1"/>
    <w:basedOn w:val="7"/>
    <w:semiHidden/>
    <w:qFormat/>
    <w:uiPriority w:val="99"/>
    <w:rPr>
      <w:rFonts w:ascii="Courier New" w:hAnsi="Courier New" w:eastAsia="仿宋_GB2312" w:cs="Courier New"/>
      <w:sz w:val="20"/>
      <w:szCs w:val="20"/>
    </w:rPr>
  </w:style>
  <w:style w:type="character" w:customStyle="1" w:styleId="14">
    <w:name w:val="页眉 Char"/>
    <w:basedOn w:val="7"/>
    <w:link w:val="4"/>
    <w:qFormat/>
    <w:uiPriority w:val="99"/>
    <w:rPr>
      <w:rFonts w:ascii="Times New Roman" w:hAnsi="Times New Roman" w:eastAsia="仿宋_GB2312" w:cs="Times New Roman"/>
      <w:sz w:val="18"/>
      <w:szCs w:val="18"/>
    </w:rPr>
  </w:style>
  <w:style w:type="character" w:customStyle="1" w:styleId="15">
    <w:name w:val="页脚 Char"/>
    <w:basedOn w:val="7"/>
    <w:link w:val="3"/>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22</Pages>
  <Words>1018</Words>
  <Characters>5807</Characters>
  <Lines>48</Lines>
  <Paragraphs>13</Paragraphs>
  <TotalTime>51</TotalTime>
  <ScaleCrop>false</ScaleCrop>
  <LinksUpToDate>false</LinksUpToDate>
  <CharactersWithSpaces>6812</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2019-11-25T01:07:00Z</dcterms:created>
  <dc:creator>刘思远</dc:creator>
  <cp:lastModifiedBy>雨天果果</cp:lastModifiedBy>
  <cp:lastPrinted>2019-11-25T03:00:00Z</cp:lastPrinted>
  <dcterms:modified xsi:type="dcterms:W3CDTF">2019-12-06T02:32:53Z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